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29FB07" w14:textId="65754E72" w:rsidR="00C2574B" w:rsidRPr="00C2574B" w:rsidRDefault="00473779">
      <w:pPr>
        <w:rPr>
          <w:b/>
          <w:lang w:val="en-US"/>
        </w:rPr>
      </w:pPr>
      <w:r>
        <w:rPr>
          <w:b/>
          <w:lang w:val="en-US"/>
        </w:rPr>
        <w:t xml:space="preserve">Advances in our understanding of the disease biocontrol potential </w:t>
      </w:r>
      <w:r w:rsidR="006B2D32">
        <w:rPr>
          <w:b/>
          <w:lang w:val="en-US"/>
        </w:rPr>
        <w:t xml:space="preserve">and enhancement </w:t>
      </w:r>
      <w:r>
        <w:rPr>
          <w:b/>
          <w:lang w:val="en-US"/>
        </w:rPr>
        <w:t xml:space="preserve">of </w:t>
      </w:r>
      <w:r w:rsidRPr="008454D4">
        <w:rPr>
          <w:b/>
          <w:i/>
          <w:iCs/>
          <w:lang w:val="en-US"/>
        </w:rPr>
        <w:t>Trichoderma harzianum</w:t>
      </w:r>
      <w:r>
        <w:rPr>
          <w:b/>
          <w:lang w:val="en-US"/>
        </w:rPr>
        <w:t xml:space="preserve"> strain T22 (Trianum</w:t>
      </w:r>
      <w:r>
        <w:rPr>
          <w:rFonts w:cstheme="minorHAnsi"/>
          <w:b/>
          <w:lang w:val="en-US"/>
        </w:rPr>
        <w:t>®</w:t>
      </w:r>
      <w:r>
        <w:rPr>
          <w:b/>
          <w:lang w:val="en-US"/>
        </w:rPr>
        <w:t>)</w:t>
      </w:r>
    </w:p>
    <w:p w14:paraId="236FB43F" w14:textId="5865BF48" w:rsidR="00C2574B" w:rsidRDefault="00C2574B">
      <w:pPr>
        <w:rPr>
          <w:lang w:val="en-US"/>
        </w:rPr>
      </w:pPr>
      <w:r w:rsidRPr="00C2574B">
        <w:rPr>
          <w:lang w:val="en-US"/>
        </w:rPr>
        <w:t xml:space="preserve">Adrian Jackson, </w:t>
      </w:r>
      <w:r>
        <w:rPr>
          <w:lang w:val="en-US"/>
        </w:rPr>
        <w:t xml:space="preserve">Consultant, </w:t>
      </w:r>
      <w:r w:rsidRPr="00C2574B">
        <w:rPr>
          <w:lang w:val="en-US"/>
        </w:rPr>
        <w:t>Koppert UK</w:t>
      </w:r>
    </w:p>
    <w:p w14:paraId="4A276483" w14:textId="7181C09E" w:rsidR="00D473BC" w:rsidRDefault="00D473BC">
      <w:pPr>
        <w:rPr>
          <w:b/>
          <w:lang w:val="en-US"/>
        </w:rPr>
      </w:pPr>
      <w:r>
        <w:rPr>
          <w:b/>
          <w:lang w:val="en-US"/>
        </w:rPr>
        <w:t>Abstract</w:t>
      </w:r>
    </w:p>
    <w:p w14:paraId="31CC2B86" w14:textId="77777777" w:rsidR="007A2FA1" w:rsidRDefault="005546B9">
      <w:pPr>
        <w:rPr>
          <w:lang w:val="en-US"/>
        </w:rPr>
      </w:pPr>
      <w:r w:rsidRPr="005546B9">
        <w:rPr>
          <w:lang w:val="en-US"/>
        </w:rPr>
        <w:t xml:space="preserve">The commercial product Trianum-P is a registered plant protection product for the control of plant diseases in growing media. It contains the </w:t>
      </w:r>
      <w:r w:rsidRPr="005546B9">
        <w:rPr>
          <w:i/>
          <w:iCs/>
          <w:lang w:val="en-US"/>
        </w:rPr>
        <w:t>Trichoderma harzianum</w:t>
      </w:r>
      <w:r w:rsidRPr="005546B9">
        <w:rPr>
          <w:lang w:val="en-US"/>
        </w:rPr>
        <w:t xml:space="preserve"> strain T22 which is arguably the most widely applied beneficial fungus in commercial horticulture today</w:t>
      </w:r>
      <w:r w:rsidR="00CE6DD0">
        <w:rPr>
          <w:lang w:val="en-US"/>
        </w:rPr>
        <w:t xml:space="preserve"> (Harman et al., 2004</w:t>
      </w:r>
      <w:r w:rsidR="00D113B0">
        <w:rPr>
          <w:lang w:val="en-US"/>
        </w:rPr>
        <w:t>a</w:t>
      </w:r>
      <w:r w:rsidR="00CE6DD0">
        <w:rPr>
          <w:lang w:val="en-US"/>
        </w:rPr>
        <w:t>)</w:t>
      </w:r>
      <w:r w:rsidRPr="005546B9">
        <w:rPr>
          <w:lang w:val="en-US"/>
        </w:rPr>
        <w:t xml:space="preserve">. As part of this year’s Trianum-P development work, </w:t>
      </w:r>
      <w:r>
        <w:rPr>
          <w:lang w:val="en-US"/>
        </w:rPr>
        <w:t xml:space="preserve">the author carried out a series of </w:t>
      </w:r>
      <w:r w:rsidR="0086739B">
        <w:rPr>
          <w:lang w:val="en-US"/>
        </w:rPr>
        <w:t>small-scale</w:t>
      </w:r>
      <w:r>
        <w:rPr>
          <w:lang w:val="en-US"/>
        </w:rPr>
        <w:t xml:space="preserve"> tests and trials to evaluate </w:t>
      </w:r>
      <w:r w:rsidRPr="005546B9">
        <w:rPr>
          <w:lang w:val="en-US"/>
        </w:rPr>
        <w:t>the potential benefits of combining Trianum-P with various commercial biostimulants</w:t>
      </w:r>
      <w:r>
        <w:rPr>
          <w:lang w:val="en-US"/>
        </w:rPr>
        <w:t xml:space="preserve"> in the production of ornamental plants. One of the challenges of using disease biocontrol agents in </w:t>
      </w:r>
      <w:r w:rsidR="00046095">
        <w:rPr>
          <w:lang w:val="en-US"/>
        </w:rPr>
        <w:t xml:space="preserve">crop production is an </w:t>
      </w:r>
      <w:r>
        <w:rPr>
          <w:lang w:val="en-US"/>
        </w:rPr>
        <w:t xml:space="preserve">apparent </w:t>
      </w:r>
      <w:r w:rsidR="00046095">
        <w:rPr>
          <w:lang w:val="en-US"/>
        </w:rPr>
        <w:t xml:space="preserve">inconsistency in field performance. It is incumbent on us to </w:t>
      </w:r>
      <w:r w:rsidR="003277CF">
        <w:rPr>
          <w:lang w:val="en-US"/>
        </w:rPr>
        <w:t xml:space="preserve">find ways to </w:t>
      </w:r>
      <w:r w:rsidR="00046095">
        <w:rPr>
          <w:lang w:val="en-US"/>
        </w:rPr>
        <w:t xml:space="preserve">enhance </w:t>
      </w:r>
      <w:r w:rsidR="003277CF">
        <w:rPr>
          <w:lang w:val="en-US"/>
        </w:rPr>
        <w:t xml:space="preserve">the disease biocontrol </w:t>
      </w:r>
      <w:r w:rsidR="00046095">
        <w:rPr>
          <w:lang w:val="en-US"/>
        </w:rPr>
        <w:t xml:space="preserve">activities </w:t>
      </w:r>
      <w:r w:rsidR="003277CF">
        <w:rPr>
          <w:lang w:val="en-US"/>
        </w:rPr>
        <w:t xml:space="preserve">of T22 and other disease antagonistic micro-organisms. </w:t>
      </w:r>
    </w:p>
    <w:p w14:paraId="47FD27C6" w14:textId="1A53F211" w:rsidR="00F17F8C" w:rsidRPr="007A2FA1" w:rsidRDefault="003277CF" w:rsidP="00F17F8C">
      <w:pPr>
        <w:rPr>
          <w:lang w:val="en-US"/>
        </w:rPr>
      </w:pPr>
      <w:r>
        <w:rPr>
          <w:lang w:val="en-US"/>
        </w:rPr>
        <w:t xml:space="preserve">The results obtained in this preliminary work have shown that the combined treatments of Trianum-P and various </w:t>
      </w:r>
      <w:proofErr w:type="spellStart"/>
      <w:r>
        <w:rPr>
          <w:lang w:val="en-US"/>
        </w:rPr>
        <w:t>b</w:t>
      </w:r>
      <w:r w:rsidR="005546B9" w:rsidRPr="005546B9">
        <w:rPr>
          <w:lang w:val="en-US"/>
        </w:rPr>
        <w:t>iostimulants</w:t>
      </w:r>
      <w:proofErr w:type="spellEnd"/>
      <w:r w:rsidR="005546B9" w:rsidRPr="005546B9">
        <w:rPr>
          <w:lang w:val="en-US"/>
        </w:rPr>
        <w:t xml:space="preserve"> </w:t>
      </w:r>
      <w:r>
        <w:rPr>
          <w:lang w:val="en-US"/>
        </w:rPr>
        <w:t xml:space="preserve">produced </w:t>
      </w:r>
      <w:r w:rsidR="007A2FA1">
        <w:rPr>
          <w:lang w:val="en-US"/>
        </w:rPr>
        <w:t xml:space="preserve">various </w:t>
      </w:r>
      <w:r>
        <w:rPr>
          <w:lang w:val="en-US"/>
        </w:rPr>
        <w:t>plant growth effects and reduced disease incidence</w:t>
      </w:r>
      <w:r w:rsidR="007A2FA1">
        <w:rPr>
          <w:lang w:val="en-US"/>
        </w:rPr>
        <w:t xml:space="preserve">. </w:t>
      </w:r>
      <w:r w:rsidR="00B53AEB">
        <w:rPr>
          <w:bCs/>
          <w:lang w:val="en-US"/>
        </w:rPr>
        <w:t xml:space="preserve">Fungal biomass development of </w:t>
      </w:r>
      <w:r w:rsidR="00D473BC" w:rsidRPr="00BE3891">
        <w:rPr>
          <w:bCs/>
          <w:i/>
          <w:iCs/>
          <w:lang w:val="en-US"/>
        </w:rPr>
        <w:t>T</w:t>
      </w:r>
      <w:r w:rsidR="00B53AEB">
        <w:rPr>
          <w:bCs/>
          <w:i/>
          <w:iCs/>
          <w:lang w:val="en-US"/>
        </w:rPr>
        <w:t xml:space="preserve">. </w:t>
      </w:r>
      <w:proofErr w:type="spellStart"/>
      <w:r w:rsidR="00D473BC" w:rsidRPr="00BE3891">
        <w:rPr>
          <w:bCs/>
          <w:i/>
          <w:iCs/>
          <w:lang w:val="en-US"/>
        </w:rPr>
        <w:t>harzianum</w:t>
      </w:r>
      <w:proofErr w:type="spellEnd"/>
      <w:r w:rsidR="00D473BC" w:rsidRPr="00BE3891">
        <w:rPr>
          <w:bCs/>
          <w:lang w:val="en-US"/>
        </w:rPr>
        <w:t xml:space="preserve"> (T22) </w:t>
      </w:r>
      <w:r w:rsidR="00B53AEB">
        <w:rPr>
          <w:bCs/>
          <w:lang w:val="en-US"/>
        </w:rPr>
        <w:t xml:space="preserve">was </w:t>
      </w:r>
      <w:proofErr w:type="spellStart"/>
      <w:r w:rsidR="00B53AEB">
        <w:rPr>
          <w:bCs/>
          <w:lang w:val="en-US"/>
        </w:rPr>
        <w:t>favoured</w:t>
      </w:r>
      <w:proofErr w:type="spellEnd"/>
      <w:r w:rsidR="00B53AEB">
        <w:rPr>
          <w:bCs/>
          <w:lang w:val="en-US"/>
        </w:rPr>
        <w:t xml:space="preserve"> by 0.05% </w:t>
      </w:r>
      <w:proofErr w:type="spellStart"/>
      <w:r w:rsidR="00B53AEB">
        <w:rPr>
          <w:bCs/>
          <w:lang w:val="en-US"/>
        </w:rPr>
        <w:t>Vidi</w:t>
      </w:r>
      <w:proofErr w:type="spellEnd"/>
      <w:r w:rsidR="00B53AEB">
        <w:rPr>
          <w:bCs/>
          <w:lang w:val="en-US"/>
        </w:rPr>
        <w:t xml:space="preserve"> Parva and the pelleted </w:t>
      </w:r>
      <w:r w:rsidR="00DC077F">
        <w:rPr>
          <w:bCs/>
          <w:lang w:val="en-US"/>
        </w:rPr>
        <w:t>plant-based</w:t>
      </w:r>
      <w:r w:rsidR="00B53AEB">
        <w:rPr>
          <w:bCs/>
          <w:lang w:val="en-US"/>
        </w:rPr>
        <w:t xml:space="preserve"> product </w:t>
      </w:r>
      <w:proofErr w:type="spellStart"/>
      <w:r w:rsidR="00B53AEB">
        <w:rPr>
          <w:bCs/>
          <w:lang w:val="en-US"/>
        </w:rPr>
        <w:t>Vidi</w:t>
      </w:r>
      <w:proofErr w:type="spellEnd"/>
      <w:r w:rsidR="00B53AEB">
        <w:rPr>
          <w:bCs/>
          <w:lang w:val="en-US"/>
        </w:rPr>
        <w:t xml:space="preserve"> </w:t>
      </w:r>
      <w:proofErr w:type="spellStart"/>
      <w:r w:rsidR="00B53AEB">
        <w:rPr>
          <w:bCs/>
          <w:lang w:val="en-US"/>
        </w:rPr>
        <w:t>Funda</w:t>
      </w:r>
      <w:proofErr w:type="spellEnd"/>
      <w:r w:rsidR="00B53AEB">
        <w:rPr>
          <w:bCs/>
          <w:lang w:val="en-US"/>
        </w:rPr>
        <w:t xml:space="preserve">. The </w:t>
      </w:r>
      <w:proofErr w:type="spellStart"/>
      <w:r w:rsidR="00BF4AB1">
        <w:rPr>
          <w:bCs/>
          <w:lang w:val="en-US"/>
        </w:rPr>
        <w:t>biostimulant</w:t>
      </w:r>
      <w:proofErr w:type="spellEnd"/>
      <w:r w:rsidR="00BF4AB1">
        <w:rPr>
          <w:bCs/>
          <w:lang w:val="en-US"/>
        </w:rPr>
        <w:t xml:space="preserve"> </w:t>
      </w:r>
      <w:proofErr w:type="spellStart"/>
      <w:r w:rsidR="00BF4AB1">
        <w:rPr>
          <w:bCs/>
          <w:lang w:val="en-US"/>
        </w:rPr>
        <w:t>Fortafol</w:t>
      </w:r>
      <w:proofErr w:type="spellEnd"/>
      <w:r w:rsidR="00BF4AB1">
        <w:rPr>
          <w:bCs/>
          <w:lang w:val="en-US"/>
        </w:rPr>
        <w:t xml:space="preserve">-D inhibited </w:t>
      </w:r>
      <w:r w:rsidR="00BF4AB1" w:rsidRPr="00BE3891">
        <w:rPr>
          <w:bCs/>
          <w:i/>
          <w:iCs/>
          <w:lang w:val="en-US"/>
        </w:rPr>
        <w:t>T</w:t>
      </w:r>
      <w:r w:rsidR="00BF4AB1">
        <w:rPr>
          <w:bCs/>
          <w:i/>
          <w:iCs/>
          <w:lang w:val="en-US"/>
        </w:rPr>
        <w:t xml:space="preserve">. </w:t>
      </w:r>
      <w:proofErr w:type="spellStart"/>
      <w:r w:rsidR="00BF4AB1" w:rsidRPr="00BE3891">
        <w:rPr>
          <w:bCs/>
          <w:i/>
          <w:iCs/>
          <w:lang w:val="en-US"/>
        </w:rPr>
        <w:t>harzianum</w:t>
      </w:r>
      <w:proofErr w:type="spellEnd"/>
      <w:r w:rsidR="00BF4AB1">
        <w:rPr>
          <w:bCs/>
          <w:lang w:val="en-US"/>
        </w:rPr>
        <w:t xml:space="preserve"> </w:t>
      </w:r>
      <w:proofErr w:type="spellStart"/>
      <w:r w:rsidR="00BF4AB1">
        <w:rPr>
          <w:bCs/>
          <w:lang w:val="en-US"/>
        </w:rPr>
        <w:t>conidiospore</w:t>
      </w:r>
      <w:proofErr w:type="spellEnd"/>
      <w:r w:rsidR="00BF4AB1">
        <w:rPr>
          <w:bCs/>
          <w:lang w:val="en-US"/>
        </w:rPr>
        <w:t xml:space="preserve"> germination </w:t>
      </w:r>
      <w:r w:rsidR="00BE3891" w:rsidRPr="00BE3891">
        <w:rPr>
          <w:bCs/>
          <w:lang w:val="en-US"/>
        </w:rPr>
        <w:t>at the commercial rate (0.1%v/v)</w:t>
      </w:r>
      <w:r w:rsidR="00BE3891">
        <w:rPr>
          <w:bCs/>
          <w:lang w:val="en-US"/>
        </w:rPr>
        <w:t>.</w:t>
      </w:r>
      <w:r w:rsidR="00BE3891" w:rsidRPr="00BE3891">
        <w:rPr>
          <w:bCs/>
          <w:lang w:val="en-US"/>
        </w:rPr>
        <w:t xml:space="preserve"> </w:t>
      </w:r>
      <w:r w:rsidR="00BF4AB1">
        <w:rPr>
          <w:bCs/>
          <w:lang w:val="en-US"/>
        </w:rPr>
        <w:t xml:space="preserve">The significance of this </w:t>
      </w:r>
      <w:r w:rsidR="002F6CE5">
        <w:rPr>
          <w:bCs/>
          <w:lang w:val="en-US"/>
        </w:rPr>
        <w:t>is</w:t>
      </w:r>
      <w:r w:rsidR="00BF4AB1">
        <w:rPr>
          <w:bCs/>
          <w:lang w:val="en-US"/>
        </w:rPr>
        <w:t xml:space="preserve"> discussed. </w:t>
      </w:r>
      <w:r w:rsidR="00BE3891">
        <w:rPr>
          <w:bCs/>
          <w:lang w:val="en-US"/>
        </w:rPr>
        <w:t>Early p</w:t>
      </w:r>
      <w:r w:rsidR="00D473BC" w:rsidRPr="00BE3891">
        <w:rPr>
          <w:bCs/>
          <w:lang w:val="en-US"/>
        </w:rPr>
        <w:t xml:space="preserve">lant growth stimulation effects </w:t>
      </w:r>
      <w:r w:rsidR="00BE3891">
        <w:rPr>
          <w:bCs/>
          <w:lang w:val="en-US"/>
        </w:rPr>
        <w:t xml:space="preserve">by </w:t>
      </w:r>
      <w:proofErr w:type="spellStart"/>
      <w:r w:rsidR="00BE3891">
        <w:rPr>
          <w:bCs/>
          <w:lang w:val="en-US"/>
        </w:rPr>
        <w:t>Trianum</w:t>
      </w:r>
      <w:proofErr w:type="spellEnd"/>
      <w:r w:rsidR="00BE3891">
        <w:rPr>
          <w:bCs/>
          <w:lang w:val="en-US"/>
        </w:rPr>
        <w:t xml:space="preserve">-P were observed </w:t>
      </w:r>
      <w:r w:rsidR="00D473BC" w:rsidRPr="00BE3891">
        <w:rPr>
          <w:bCs/>
          <w:lang w:val="en-US"/>
        </w:rPr>
        <w:t xml:space="preserve">in </w:t>
      </w:r>
      <w:proofErr w:type="spellStart"/>
      <w:r w:rsidR="00D473BC" w:rsidRPr="00BE3891">
        <w:rPr>
          <w:bCs/>
          <w:i/>
          <w:iCs/>
          <w:lang w:val="en-US"/>
        </w:rPr>
        <w:t>Tagetes</w:t>
      </w:r>
      <w:proofErr w:type="spellEnd"/>
      <w:r w:rsidR="00BE3891">
        <w:rPr>
          <w:bCs/>
          <w:lang w:val="en-US"/>
        </w:rPr>
        <w:t xml:space="preserve">. </w:t>
      </w:r>
      <w:r w:rsidR="00BE3891" w:rsidRPr="00A04D11">
        <w:rPr>
          <w:bCs/>
          <w:i/>
          <w:iCs/>
          <w:lang w:val="en-US"/>
        </w:rPr>
        <w:t>Lavandula</w:t>
      </w:r>
      <w:r w:rsidR="00BE3891">
        <w:rPr>
          <w:bCs/>
          <w:lang w:val="en-US"/>
        </w:rPr>
        <w:t xml:space="preserve"> </w:t>
      </w:r>
      <w:r w:rsidR="00233D89">
        <w:rPr>
          <w:bCs/>
          <w:lang w:val="en-US"/>
        </w:rPr>
        <w:t>plugs treated</w:t>
      </w:r>
      <w:r w:rsidR="00A906AD">
        <w:rPr>
          <w:bCs/>
          <w:lang w:val="en-US"/>
        </w:rPr>
        <w:t xml:space="preserve"> with </w:t>
      </w:r>
      <w:proofErr w:type="spellStart"/>
      <w:r w:rsidR="00BE3891">
        <w:rPr>
          <w:bCs/>
          <w:lang w:val="en-US"/>
        </w:rPr>
        <w:t>Trianum</w:t>
      </w:r>
      <w:proofErr w:type="spellEnd"/>
      <w:r w:rsidR="00BE3891">
        <w:rPr>
          <w:bCs/>
          <w:lang w:val="en-US"/>
        </w:rPr>
        <w:t xml:space="preserve">-P + </w:t>
      </w:r>
      <w:proofErr w:type="spellStart"/>
      <w:r w:rsidR="00BE3891">
        <w:rPr>
          <w:bCs/>
          <w:lang w:val="en-US"/>
        </w:rPr>
        <w:t>Vidi</w:t>
      </w:r>
      <w:proofErr w:type="spellEnd"/>
      <w:r w:rsidR="00BE3891">
        <w:rPr>
          <w:bCs/>
          <w:lang w:val="en-US"/>
        </w:rPr>
        <w:t xml:space="preserve"> Parva </w:t>
      </w:r>
      <w:r w:rsidR="00A906AD">
        <w:rPr>
          <w:bCs/>
          <w:lang w:val="en-US"/>
        </w:rPr>
        <w:t xml:space="preserve">developed less root disease incidence and more shoot extension growth </w:t>
      </w:r>
      <w:r w:rsidR="00BE3891">
        <w:rPr>
          <w:bCs/>
          <w:lang w:val="en-US"/>
        </w:rPr>
        <w:t xml:space="preserve">compared to untreated </w:t>
      </w:r>
      <w:r w:rsidR="00A906AD">
        <w:rPr>
          <w:bCs/>
          <w:lang w:val="en-US"/>
        </w:rPr>
        <w:t>controls</w:t>
      </w:r>
      <w:r w:rsidR="00BE3891">
        <w:rPr>
          <w:bCs/>
          <w:lang w:val="en-US"/>
        </w:rPr>
        <w:t xml:space="preserve">. </w:t>
      </w:r>
      <w:r w:rsidR="001A5DA3" w:rsidRPr="00901A27">
        <w:rPr>
          <w:bCs/>
          <w:lang w:val="en-US"/>
        </w:rPr>
        <w:t xml:space="preserve">In </w:t>
      </w:r>
      <w:r w:rsidR="001A5DA3" w:rsidRPr="00901A27">
        <w:rPr>
          <w:bCs/>
          <w:i/>
          <w:iCs/>
          <w:lang w:val="en-US"/>
        </w:rPr>
        <w:t>Ceanothus</w:t>
      </w:r>
      <w:r w:rsidR="001A5DA3" w:rsidRPr="00901A27">
        <w:rPr>
          <w:bCs/>
          <w:lang w:val="en-US"/>
        </w:rPr>
        <w:t xml:space="preserve"> the </w:t>
      </w:r>
      <w:proofErr w:type="spellStart"/>
      <w:r w:rsidR="001A5DA3" w:rsidRPr="00901A27">
        <w:rPr>
          <w:bCs/>
          <w:lang w:val="en-US"/>
        </w:rPr>
        <w:t>Trianum</w:t>
      </w:r>
      <w:proofErr w:type="spellEnd"/>
      <w:r w:rsidR="001A5DA3" w:rsidRPr="00901A27">
        <w:rPr>
          <w:bCs/>
          <w:lang w:val="en-US"/>
        </w:rPr>
        <w:t xml:space="preserve">-P treatment produced the best </w:t>
      </w:r>
      <w:r w:rsidR="00901A27">
        <w:rPr>
          <w:bCs/>
          <w:lang w:val="en-US"/>
        </w:rPr>
        <w:t xml:space="preserve">overall </w:t>
      </w:r>
      <w:r w:rsidR="001A5DA3" w:rsidRPr="00901A27">
        <w:rPr>
          <w:bCs/>
          <w:lang w:val="en-US"/>
        </w:rPr>
        <w:t>plant shape and more spring growth than all other treatments.</w:t>
      </w:r>
      <w:r w:rsidR="00901A27">
        <w:rPr>
          <w:bCs/>
          <w:lang w:val="en-US"/>
        </w:rPr>
        <w:t xml:space="preserve"> </w:t>
      </w:r>
      <w:r w:rsidR="00DC077F">
        <w:rPr>
          <w:bCs/>
          <w:lang w:val="en-US"/>
        </w:rPr>
        <w:t xml:space="preserve">A reduced number of </w:t>
      </w:r>
      <w:r w:rsidR="00901A27">
        <w:rPr>
          <w:bCs/>
          <w:lang w:val="en-US"/>
        </w:rPr>
        <w:t xml:space="preserve">flower heads in the </w:t>
      </w:r>
      <w:proofErr w:type="spellStart"/>
      <w:r w:rsidR="00901A27">
        <w:rPr>
          <w:bCs/>
          <w:lang w:val="en-US"/>
        </w:rPr>
        <w:t>Trianum</w:t>
      </w:r>
      <w:proofErr w:type="spellEnd"/>
      <w:r w:rsidR="00901A27">
        <w:rPr>
          <w:bCs/>
          <w:lang w:val="en-US"/>
        </w:rPr>
        <w:t xml:space="preserve">-P treated </w:t>
      </w:r>
      <w:r w:rsidR="00901A27" w:rsidRPr="00901A27">
        <w:rPr>
          <w:bCs/>
          <w:i/>
          <w:iCs/>
          <w:lang w:val="en-US"/>
        </w:rPr>
        <w:t>Ceanothus</w:t>
      </w:r>
      <w:r w:rsidR="00BF4AB1">
        <w:rPr>
          <w:bCs/>
          <w:lang w:val="en-US"/>
        </w:rPr>
        <w:t xml:space="preserve"> </w:t>
      </w:r>
      <w:r w:rsidR="00901A27">
        <w:rPr>
          <w:bCs/>
          <w:lang w:val="en-US"/>
        </w:rPr>
        <w:t xml:space="preserve">may </w:t>
      </w:r>
      <w:r w:rsidR="00BF4AB1">
        <w:rPr>
          <w:bCs/>
          <w:lang w:val="en-US"/>
        </w:rPr>
        <w:t xml:space="preserve">have </w:t>
      </w:r>
      <w:r w:rsidR="00DC077F">
        <w:rPr>
          <w:bCs/>
          <w:lang w:val="en-US"/>
        </w:rPr>
        <w:t>been attributed</w:t>
      </w:r>
      <w:r w:rsidR="00901A27">
        <w:rPr>
          <w:bCs/>
          <w:lang w:val="en-US"/>
        </w:rPr>
        <w:t xml:space="preserve"> to stress reduction effects and growth hormone induction resulting from </w:t>
      </w:r>
      <w:proofErr w:type="spellStart"/>
      <w:proofErr w:type="gramStart"/>
      <w:r w:rsidR="00901A27" w:rsidRPr="00901A27">
        <w:rPr>
          <w:bCs/>
          <w:i/>
          <w:iCs/>
          <w:lang w:val="en-US"/>
        </w:rPr>
        <w:t>T.harzianum</w:t>
      </w:r>
      <w:r w:rsidR="00DC077F">
        <w:rPr>
          <w:bCs/>
          <w:lang w:val="en-US"/>
        </w:rPr>
        <w:t>’s</w:t>
      </w:r>
      <w:proofErr w:type="spellEnd"/>
      <w:proofErr w:type="gramEnd"/>
      <w:r w:rsidR="00DC077F">
        <w:rPr>
          <w:bCs/>
          <w:lang w:val="en-US"/>
        </w:rPr>
        <w:t xml:space="preserve"> symbiotic </w:t>
      </w:r>
      <w:r w:rsidR="00901A27">
        <w:rPr>
          <w:bCs/>
          <w:lang w:val="en-US"/>
        </w:rPr>
        <w:t>associations</w:t>
      </w:r>
      <w:r w:rsidR="00DC077F">
        <w:rPr>
          <w:bCs/>
          <w:lang w:val="en-US"/>
        </w:rPr>
        <w:t xml:space="preserve"> with the plant’s roots</w:t>
      </w:r>
      <w:r w:rsidR="00901A27">
        <w:rPr>
          <w:bCs/>
          <w:lang w:val="en-US"/>
        </w:rPr>
        <w:t>.</w:t>
      </w:r>
      <w:r w:rsidR="009C21E5">
        <w:rPr>
          <w:bCs/>
          <w:lang w:val="en-US"/>
        </w:rPr>
        <w:t xml:space="preserve"> </w:t>
      </w:r>
      <w:r w:rsidR="001A5DA3" w:rsidRPr="001F243E">
        <w:rPr>
          <w:bCs/>
          <w:lang w:val="en-US"/>
        </w:rPr>
        <w:t xml:space="preserve">In </w:t>
      </w:r>
      <w:r w:rsidR="001A5DA3" w:rsidRPr="001F243E">
        <w:rPr>
          <w:bCs/>
          <w:i/>
          <w:iCs/>
          <w:lang w:val="en-US"/>
        </w:rPr>
        <w:t>Hebe</w:t>
      </w:r>
      <w:r w:rsidR="001A5DA3" w:rsidRPr="001F243E">
        <w:rPr>
          <w:bCs/>
          <w:lang w:val="en-US"/>
        </w:rPr>
        <w:t xml:space="preserve"> the greatest root biomass was produced by the Trianum-P + Vidi Parva and M149 + </w:t>
      </w:r>
      <w:proofErr w:type="spellStart"/>
      <w:r w:rsidR="001A5DA3" w:rsidRPr="001F243E">
        <w:rPr>
          <w:bCs/>
          <w:lang w:val="en-US"/>
        </w:rPr>
        <w:t>Vidi</w:t>
      </w:r>
      <w:proofErr w:type="spellEnd"/>
      <w:r w:rsidR="001A5DA3" w:rsidRPr="001F243E">
        <w:rPr>
          <w:bCs/>
          <w:lang w:val="en-US"/>
        </w:rPr>
        <w:t xml:space="preserve"> Parva treatments.</w:t>
      </w:r>
      <w:r w:rsidR="001F243E">
        <w:rPr>
          <w:bCs/>
          <w:lang w:val="en-US"/>
        </w:rPr>
        <w:t xml:space="preserve"> </w:t>
      </w:r>
      <w:proofErr w:type="spellStart"/>
      <w:r w:rsidR="001F243E" w:rsidRPr="001F243E">
        <w:rPr>
          <w:bCs/>
          <w:lang w:val="en-US"/>
        </w:rPr>
        <w:t>Trianum</w:t>
      </w:r>
      <w:proofErr w:type="spellEnd"/>
      <w:r w:rsidR="001F243E" w:rsidRPr="001F243E">
        <w:rPr>
          <w:bCs/>
          <w:lang w:val="en-US"/>
        </w:rPr>
        <w:t xml:space="preserve">-P + </w:t>
      </w:r>
      <w:proofErr w:type="spellStart"/>
      <w:r w:rsidR="001F243E" w:rsidRPr="001F243E">
        <w:rPr>
          <w:bCs/>
          <w:lang w:val="en-US"/>
        </w:rPr>
        <w:t>Vidi</w:t>
      </w:r>
      <w:proofErr w:type="spellEnd"/>
      <w:r w:rsidR="001F243E" w:rsidRPr="001F243E">
        <w:rPr>
          <w:bCs/>
          <w:lang w:val="en-US"/>
        </w:rPr>
        <w:t xml:space="preserve"> Parva</w:t>
      </w:r>
      <w:r w:rsidR="001F243E">
        <w:rPr>
          <w:bCs/>
          <w:lang w:val="en-US"/>
        </w:rPr>
        <w:t xml:space="preserve"> gave the best results </w:t>
      </w:r>
      <w:r w:rsidR="00DC077F">
        <w:rPr>
          <w:bCs/>
          <w:lang w:val="en-US"/>
        </w:rPr>
        <w:t xml:space="preserve">overall, </w:t>
      </w:r>
      <w:r w:rsidR="001F243E">
        <w:rPr>
          <w:bCs/>
          <w:lang w:val="en-US"/>
        </w:rPr>
        <w:t xml:space="preserve">scoring highly in root biomass production, strong lateral root production and </w:t>
      </w:r>
      <w:r w:rsidR="00DC077F">
        <w:rPr>
          <w:bCs/>
          <w:lang w:val="en-US"/>
        </w:rPr>
        <w:t xml:space="preserve">achieving the greatest </w:t>
      </w:r>
      <w:r w:rsidR="001F243E">
        <w:rPr>
          <w:bCs/>
          <w:lang w:val="en-US"/>
        </w:rPr>
        <w:t>reduc</w:t>
      </w:r>
      <w:r w:rsidR="00DC077F">
        <w:rPr>
          <w:bCs/>
          <w:lang w:val="en-US"/>
        </w:rPr>
        <w:t>tion in</w:t>
      </w:r>
      <w:r w:rsidR="001F243E">
        <w:rPr>
          <w:bCs/>
          <w:lang w:val="en-US"/>
        </w:rPr>
        <w:t xml:space="preserve"> disease incidence. </w:t>
      </w:r>
      <w:r w:rsidR="00F17F8C">
        <w:rPr>
          <w:bCs/>
          <w:lang w:val="en-US"/>
        </w:rPr>
        <w:t xml:space="preserve">In </w:t>
      </w:r>
      <w:r w:rsidR="00F17F8C" w:rsidRPr="00D9561E">
        <w:rPr>
          <w:bCs/>
          <w:i/>
          <w:iCs/>
          <w:lang w:val="en-US"/>
        </w:rPr>
        <w:t>Deutzia</w:t>
      </w:r>
      <w:r w:rsidR="00F17F8C">
        <w:rPr>
          <w:bCs/>
          <w:lang w:val="en-US"/>
        </w:rPr>
        <w:t xml:space="preserve"> </w:t>
      </w:r>
      <w:r w:rsidR="00F17F8C" w:rsidRPr="00F17F8C">
        <w:rPr>
          <w:bCs/>
          <w:lang w:val="en-US"/>
        </w:rPr>
        <w:t xml:space="preserve">more root biomass and </w:t>
      </w:r>
      <w:r w:rsidR="00F17F8C">
        <w:rPr>
          <w:bCs/>
          <w:lang w:val="en-US"/>
        </w:rPr>
        <w:t xml:space="preserve">the </w:t>
      </w:r>
      <w:r w:rsidR="00F17F8C" w:rsidRPr="00F17F8C">
        <w:rPr>
          <w:bCs/>
          <w:lang w:val="en-US"/>
        </w:rPr>
        <w:t xml:space="preserve">best root quality was produced in the </w:t>
      </w:r>
      <w:proofErr w:type="spellStart"/>
      <w:r w:rsidR="00F17F8C" w:rsidRPr="00F17F8C">
        <w:rPr>
          <w:bCs/>
          <w:lang w:val="en-US"/>
        </w:rPr>
        <w:t>Trianum</w:t>
      </w:r>
      <w:proofErr w:type="spellEnd"/>
      <w:r w:rsidR="00F17F8C" w:rsidRPr="00F17F8C">
        <w:rPr>
          <w:bCs/>
          <w:lang w:val="en-US"/>
        </w:rPr>
        <w:t xml:space="preserve">-P and </w:t>
      </w:r>
      <w:proofErr w:type="spellStart"/>
      <w:r w:rsidR="00F17F8C" w:rsidRPr="00F17F8C">
        <w:rPr>
          <w:bCs/>
          <w:lang w:val="en-US"/>
        </w:rPr>
        <w:t>Trianum</w:t>
      </w:r>
      <w:proofErr w:type="spellEnd"/>
      <w:r w:rsidR="00F17F8C" w:rsidRPr="00F17F8C">
        <w:rPr>
          <w:bCs/>
          <w:lang w:val="en-US"/>
        </w:rPr>
        <w:t xml:space="preserve">-P + </w:t>
      </w:r>
      <w:proofErr w:type="spellStart"/>
      <w:r w:rsidR="00F17F8C" w:rsidRPr="00F17F8C">
        <w:rPr>
          <w:bCs/>
          <w:lang w:val="en-US"/>
        </w:rPr>
        <w:t>Vidi</w:t>
      </w:r>
      <w:proofErr w:type="spellEnd"/>
      <w:r w:rsidR="00F17F8C" w:rsidRPr="00F17F8C">
        <w:rPr>
          <w:bCs/>
          <w:lang w:val="en-US"/>
        </w:rPr>
        <w:t xml:space="preserve"> Parva treat</w:t>
      </w:r>
      <w:r w:rsidR="00DC077F">
        <w:rPr>
          <w:bCs/>
          <w:lang w:val="en-US"/>
        </w:rPr>
        <w:t xml:space="preserve">ments. </w:t>
      </w:r>
      <w:r w:rsidR="00F17F8C">
        <w:rPr>
          <w:bCs/>
          <w:lang w:val="en-US"/>
        </w:rPr>
        <w:t xml:space="preserve"> </w:t>
      </w:r>
    </w:p>
    <w:p w14:paraId="3E168AF2" w14:textId="77777777" w:rsidR="0092346D" w:rsidRDefault="0092346D">
      <w:pPr>
        <w:rPr>
          <w:bCs/>
          <w:lang w:val="en-US"/>
        </w:rPr>
      </w:pPr>
    </w:p>
    <w:p w14:paraId="4AE5C698" w14:textId="542582C4" w:rsidR="00473779" w:rsidRPr="00F17F8C" w:rsidRDefault="00473779">
      <w:pPr>
        <w:rPr>
          <w:bCs/>
          <w:lang w:val="en-US"/>
        </w:rPr>
      </w:pPr>
      <w:bookmarkStart w:id="0" w:name="_GoBack"/>
      <w:bookmarkEnd w:id="0"/>
      <w:r w:rsidRPr="00473779">
        <w:rPr>
          <w:b/>
          <w:lang w:val="en-US"/>
        </w:rPr>
        <w:t>Introduction</w:t>
      </w:r>
    </w:p>
    <w:p w14:paraId="481ACFEE" w14:textId="7A3572E0" w:rsidR="00961B3F" w:rsidRPr="008F4D96" w:rsidRDefault="00C2574B" w:rsidP="00961B3F">
      <w:pPr>
        <w:rPr>
          <w:color w:val="FF0000"/>
          <w:lang w:val="en-US"/>
        </w:rPr>
      </w:pPr>
      <w:r w:rsidRPr="00AA2154">
        <w:rPr>
          <w:i/>
          <w:iCs/>
          <w:lang w:val="en-US"/>
        </w:rPr>
        <w:t>Trichoderma harzianum</w:t>
      </w:r>
      <w:r>
        <w:rPr>
          <w:lang w:val="en-US"/>
        </w:rPr>
        <w:t xml:space="preserve"> strain T22 was generated </w:t>
      </w:r>
      <w:r w:rsidR="001B04E3">
        <w:rPr>
          <w:lang w:val="en-US"/>
        </w:rPr>
        <w:t>by</w:t>
      </w:r>
      <w:r>
        <w:rPr>
          <w:lang w:val="en-US"/>
        </w:rPr>
        <w:t xml:space="preserve"> </w:t>
      </w:r>
      <w:r w:rsidR="001B04E3">
        <w:rPr>
          <w:lang w:val="en-US"/>
        </w:rPr>
        <w:t xml:space="preserve">combining </w:t>
      </w:r>
      <w:r>
        <w:rPr>
          <w:lang w:val="en-US"/>
        </w:rPr>
        <w:t xml:space="preserve">protoplast </w:t>
      </w:r>
      <w:r w:rsidR="00473779">
        <w:rPr>
          <w:lang w:val="en-US"/>
        </w:rPr>
        <w:t xml:space="preserve">tissue from </w:t>
      </w:r>
      <w:r w:rsidRPr="00E710EA">
        <w:rPr>
          <w:i/>
          <w:iCs/>
          <w:lang w:val="en-US"/>
        </w:rPr>
        <w:t>Trichoderma</w:t>
      </w:r>
      <w:r w:rsidR="00473779">
        <w:rPr>
          <w:lang w:val="en-US"/>
        </w:rPr>
        <w:t xml:space="preserve"> </w:t>
      </w:r>
      <w:proofErr w:type="spellStart"/>
      <w:r w:rsidR="004A6CB1" w:rsidRPr="004A6CB1">
        <w:rPr>
          <w:i/>
          <w:iCs/>
          <w:lang w:val="en-US"/>
        </w:rPr>
        <w:t>harzianum</w:t>
      </w:r>
      <w:proofErr w:type="spellEnd"/>
      <w:r w:rsidR="004A6CB1">
        <w:rPr>
          <w:lang w:val="en-US"/>
        </w:rPr>
        <w:t xml:space="preserve"> </w:t>
      </w:r>
      <w:r w:rsidR="00473779">
        <w:rPr>
          <w:lang w:val="en-US"/>
        </w:rPr>
        <w:t>strains T95 and T12</w:t>
      </w:r>
      <w:r w:rsidR="007A78DE">
        <w:rPr>
          <w:lang w:val="en-US"/>
        </w:rPr>
        <w:t xml:space="preserve"> (</w:t>
      </w:r>
      <w:proofErr w:type="spellStart"/>
      <w:r w:rsidR="007A78DE">
        <w:rPr>
          <w:lang w:val="en-US"/>
        </w:rPr>
        <w:t>Stasz</w:t>
      </w:r>
      <w:proofErr w:type="spellEnd"/>
      <w:r w:rsidR="007A78DE">
        <w:rPr>
          <w:lang w:val="en-US"/>
        </w:rPr>
        <w:t xml:space="preserve"> </w:t>
      </w:r>
      <w:r w:rsidR="007A78DE" w:rsidRPr="00E710EA">
        <w:rPr>
          <w:i/>
          <w:iCs/>
          <w:lang w:val="en-US"/>
        </w:rPr>
        <w:t>et al</w:t>
      </w:r>
      <w:r w:rsidR="007A78DE">
        <w:rPr>
          <w:lang w:val="en-US"/>
        </w:rPr>
        <w:t>.</w:t>
      </w:r>
      <w:r w:rsidR="00083B59">
        <w:rPr>
          <w:lang w:val="en-US"/>
        </w:rPr>
        <w:t>,</w:t>
      </w:r>
      <w:r w:rsidR="007A78DE">
        <w:rPr>
          <w:lang w:val="en-US"/>
        </w:rPr>
        <w:t xml:space="preserve"> 1988)</w:t>
      </w:r>
      <w:r w:rsidR="00083B59">
        <w:rPr>
          <w:lang w:val="en-US"/>
        </w:rPr>
        <w:t xml:space="preserve"> and is </w:t>
      </w:r>
      <w:r w:rsidR="00131F83">
        <w:rPr>
          <w:lang w:val="en-US"/>
        </w:rPr>
        <w:t>n</w:t>
      </w:r>
      <w:r w:rsidR="00083B59">
        <w:rPr>
          <w:lang w:val="en-US"/>
        </w:rPr>
        <w:t xml:space="preserve">ow </w:t>
      </w:r>
      <w:r w:rsidR="00131F83">
        <w:rPr>
          <w:lang w:val="en-US"/>
        </w:rPr>
        <w:t xml:space="preserve">sold </w:t>
      </w:r>
      <w:r w:rsidR="00083B59">
        <w:rPr>
          <w:lang w:val="en-US"/>
        </w:rPr>
        <w:t>commercially as</w:t>
      </w:r>
      <w:r w:rsidR="00131F83">
        <w:rPr>
          <w:lang w:val="en-US"/>
        </w:rPr>
        <w:t xml:space="preserve"> the product Trianum. </w:t>
      </w:r>
      <w:r>
        <w:rPr>
          <w:lang w:val="en-US"/>
        </w:rPr>
        <w:t xml:space="preserve">The </w:t>
      </w:r>
      <w:r w:rsidR="00162982">
        <w:rPr>
          <w:lang w:val="en-US"/>
        </w:rPr>
        <w:t>development</w:t>
      </w:r>
      <w:r>
        <w:rPr>
          <w:lang w:val="en-US"/>
        </w:rPr>
        <w:t xml:space="preserve"> of T22 </w:t>
      </w:r>
      <w:r w:rsidR="00E515A7">
        <w:rPr>
          <w:lang w:val="en-US"/>
        </w:rPr>
        <w:t xml:space="preserve">marked </w:t>
      </w:r>
      <w:r>
        <w:rPr>
          <w:lang w:val="en-US"/>
        </w:rPr>
        <w:t>the beginning of a new commercial era in disease biocontrol a</w:t>
      </w:r>
      <w:r w:rsidR="00E515A7">
        <w:rPr>
          <w:lang w:val="en-US"/>
        </w:rPr>
        <w:t>round</w:t>
      </w:r>
      <w:r>
        <w:rPr>
          <w:lang w:val="en-US"/>
        </w:rPr>
        <w:t xml:space="preserve"> the World. </w:t>
      </w:r>
      <w:r w:rsidR="00E515A7">
        <w:rPr>
          <w:lang w:val="en-US"/>
        </w:rPr>
        <w:t xml:space="preserve">Although there are two commercial formulations available, this paper will focus on the powdered formulation Trianum-P. This has several label and off-label approvals for use in ornamentals, soft fruit and salads (Anon, 2019a). Additional product literature is available at </w:t>
      </w:r>
      <w:hyperlink r:id="rId6" w:history="1">
        <w:r w:rsidR="00E515A7" w:rsidRPr="000A1267">
          <w:rPr>
            <w:rStyle w:val="Hyperlink"/>
            <w:lang w:val="en-US"/>
          </w:rPr>
          <w:t>www.Koppert.co.uk</w:t>
        </w:r>
      </w:hyperlink>
      <w:r w:rsidR="00E515A7">
        <w:rPr>
          <w:lang w:val="en-US"/>
        </w:rPr>
        <w:t xml:space="preserve"> (Anon, 2019b, 2019c).</w:t>
      </w:r>
      <w:r w:rsidR="000336B7">
        <w:rPr>
          <w:lang w:val="en-US"/>
        </w:rPr>
        <w:t xml:space="preserve"> </w:t>
      </w:r>
      <w:r w:rsidR="000336B7" w:rsidRPr="000336B7">
        <w:rPr>
          <w:bCs/>
          <w:lang w:val="en-US"/>
        </w:rPr>
        <w:t xml:space="preserve">In </w:t>
      </w:r>
      <w:r w:rsidR="000336B7">
        <w:rPr>
          <w:bCs/>
          <w:lang w:val="en-US"/>
        </w:rPr>
        <w:t xml:space="preserve">early </w:t>
      </w:r>
      <w:r w:rsidR="000336B7" w:rsidRPr="000336B7">
        <w:rPr>
          <w:bCs/>
          <w:lang w:val="en-US"/>
        </w:rPr>
        <w:t>studies both</w:t>
      </w:r>
      <w:r w:rsidR="000336B7">
        <w:rPr>
          <w:bCs/>
          <w:lang w:val="en-US"/>
        </w:rPr>
        <w:t xml:space="preserve"> of</w:t>
      </w:r>
      <w:r w:rsidR="000336B7" w:rsidRPr="000336B7">
        <w:rPr>
          <w:bCs/>
          <w:lang w:val="en-US"/>
        </w:rPr>
        <w:t xml:space="preserve"> T22</w:t>
      </w:r>
      <w:r w:rsidR="000336B7">
        <w:rPr>
          <w:bCs/>
          <w:lang w:val="en-US"/>
        </w:rPr>
        <w:t>’s</w:t>
      </w:r>
      <w:r w:rsidR="000336B7" w:rsidRPr="000336B7">
        <w:rPr>
          <w:lang w:val="en-US"/>
        </w:rPr>
        <w:t xml:space="preserve"> </w:t>
      </w:r>
      <w:r w:rsidR="00406CD9">
        <w:rPr>
          <w:lang w:val="en-US"/>
        </w:rPr>
        <w:t xml:space="preserve">parent isolates T95 and T12 </w:t>
      </w:r>
      <w:r w:rsidR="000336B7">
        <w:rPr>
          <w:lang w:val="en-US"/>
        </w:rPr>
        <w:t xml:space="preserve">demonstrated strong </w:t>
      </w:r>
      <w:r w:rsidR="00FB4E08">
        <w:rPr>
          <w:lang w:val="en-US"/>
        </w:rPr>
        <w:t xml:space="preserve">disease biocontrol </w:t>
      </w:r>
      <w:r w:rsidR="000336B7">
        <w:rPr>
          <w:lang w:val="en-US"/>
        </w:rPr>
        <w:t xml:space="preserve">activity and </w:t>
      </w:r>
      <w:r w:rsidR="00AA2154">
        <w:rPr>
          <w:lang w:val="en-US"/>
        </w:rPr>
        <w:t>rhizosphere competence (Ahm</w:t>
      </w:r>
      <w:r w:rsidR="00C02467">
        <w:rPr>
          <w:lang w:val="en-US"/>
        </w:rPr>
        <w:t>a</w:t>
      </w:r>
      <w:r w:rsidR="00AA2154">
        <w:rPr>
          <w:lang w:val="en-US"/>
        </w:rPr>
        <w:t>d &amp; Baker, 1988)</w:t>
      </w:r>
      <w:r w:rsidR="000336B7">
        <w:rPr>
          <w:lang w:val="en-US"/>
        </w:rPr>
        <w:t xml:space="preserve">. </w:t>
      </w:r>
      <w:r w:rsidR="00961B3F">
        <w:rPr>
          <w:lang w:val="en-US"/>
        </w:rPr>
        <w:t xml:space="preserve">The commercial production of </w:t>
      </w:r>
      <w:bookmarkStart w:id="1" w:name="_Hlk13046976"/>
      <w:r w:rsidR="00961B3F">
        <w:rPr>
          <w:lang w:val="en-US"/>
        </w:rPr>
        <w:t>Trianum</w:t>
      </w:r>
      <w:bookmarkEnd w:id="1"/>
      <w:r w:rsidR="00961B3F">
        <w:rPr>
          <w:lang w:val="en-US"/>
        </w:rPr>
        <w:t xml:space="preserve"> is carried out under clinical conditions in computer controlled stainless steel fermenter vats. The computerized system ensures that the precise biotic and abiotic requirements are provided so that optimal </w:t>
      </w:r>
      <w:proofErr w:type="spellStart"/>
      <w:r w:rsidR="00961B3F">
        <w:rPr>
          <w:lang w:val="en-US"/>
        </w:rPr>
        <w:t>conidiospore</w:t>
      </w:r>
      <w:proofErr w:type="spellEnd"/>
      <w:r w:rsidR="00961B3F">
        <w:rPr>
          <w:lang w:val="en-US"/>
        </w:rPr>
        <w:t xml:space="preserve"> to biomass ratios are achieved. As with plants, the precise nutritional needs of T22 must be met in order to generate the necessary high-quality yields in a cost-effective manner. </w:t>
      </w:r>
    </w:p>
    <w:p w14:paraId="493549F9" w14:textId="590D6C3B" w:rsidR="00BE1F91" w:rsidRPr="00BE1F91" w:rsidRDefault="00BE1F91">
      <w:pPr>
        <w:rPr>
          <w:b/>
          <w:lang w:val="en-US"/>
        </w:rPr>
      </w:pPr>
      <w:r w:rsidRPr="00BE1F91">
        <w:rPr>
          <w:b/>
          <w:lang w:val="en-US"/>
        </w:rPr>
        <w:lastRenderedPageBreak/>
        <w:t>Mechanisms of action</w:t>
      </w:r>
    </w:p>
    <w:p w14:paraId="0B7FB796" w14:textId="43E52B98" w:rsidR="00667139" w:rsidRPr="00FA3371" w:rsidRDefault="00347573">
      <w:pPr>
        <w:rPr>
          <w:lang w:val="en-US"/>
        </w:rPr>
      </w:pPr>
      <w:r>
        <w:rPr>
          <w:lang w:val="en-US"/>
        </w:rPr>
        <w:t>Gradually scien</w:t>
      </w:r>
      <w:r w:rsidR="00585FC8">
        <w:rPr>
          <w:lang w:val="en-US"/>
        </w:rPr>
        <w:t xml:space="preserve">tific research has </w:t>
      </w:r>
      <w:r w:rsidR="00161444">
        <w:rPr>
          <w:lang w:val="en-US"/>
        </w:rPr>
        <w:t>unraveled</w:t>
      </w:r>
      <w:r>
        <w:rPr>
          <w:lang w:val="en-US"/>
        </w:rPr>
        <w:t xml:space="preserve"> the complex methods employed by T22 to gain a competitive advantage over disease</w:t>
      </w:r>
      <w:r w:rsidR="008C1D32">
        <w:rPr>
          <w:lang w:val="en-US"/>
        </w:rPr>
        <w:t>-</w:t>
      </w:r>
      <w:r>
        <w:rPr>
          <w:lang w:val="en-US"/>
        </w:rPr>
        <w:t xml:space="preserve">causing plant pathogenic fungi.  Different effects and observations </w:t>
      </w:r>
      <w:r w:rsidR="00D231B7">
        <w:rPr>
          <w:lang w:val="en-US"/>
        </w:rPr>
        <w:t xml:space="preserve">pointed to </w:t>
      </w:r>
      <w:r w:rsidR="004B0103">
        <w:rPr>
          <w:lang w:val="en-US"/>
        </w:rPr>
        <w:t>m</w:t>
      </w:r>
      <w:r>
        <w:rPr>
          <w:lang w:val="en-US"/>
        </w:rPr>
        <w:t xml:space="preserve">ultiple </w:t>
      </w:r>
      <w:r w:rsidR="004B0103">
        <w:rPr>
          <w:lang w:val="en-US"/>
        </w:rPr>
        <w:t>mechanism</w:t>
      </w:r>
      <w:r w:rsidR="00E73D4B">
        <w:rPr>
          <w:lang w:val="en-US"/>
        </w:rPr>
        <w:t>s</w:t>
      </w:r>
      <w:r w:rsidR="00293634">
        <w:rPr>
          <w:lang w:val="en-US"/>
        </w:rPr>
        <w:t xml:space="preserve"> of action</w:t>
      </w:r>
      <w:r w:rsidR="00585FC8">
        <w:rPr>
          <w:lang w:val="en-US"/>
        </w:rPr>
        <w:t xml:space="preserve"> including mycoparasitism, antibiosis, a high competitive saprophytic ability, the production of pathogen cell wall degrading enzymes, ability to </w:t>
      </w:r>
      <w:proofErr w:type="spellStart"/>
      <w:r w:rsidR="00585FC8">
        <w:rPr>
          <w:lang w:val="en-US"/>
        </w:rPr>
        <w:t>colonise</w:t>
      </w:r>
      <w:proofErr w:type="spellEnd"/>
      <w:r w:rsidR="00585FC8">
        <w:rPr>
          <w:lang w:val="en-US"/>
        </w:rPr>
        <w:t xml:space="preserve"> the roots of plants (rhizosphere competence) and the ability to induce systemic resistance in plants. </w:t>
      </w:r>
      <w:r w:rsidR="003C087F">
        <w:rPr>
          <w:lang w:val="en-US"/>
        </w:rPr>
        <w:t xml:space="preserve">When </w:t>
      </w:r>
      <w:r w:rsidR="00585FC8">
        <w:rPr>
          <w:lang w:val="en-US"/>
        </w:rPr>
        <w:t xml:space="preserve">a </w:t>
      </w:r>
      <w:r w:rsidR="003C087F">
        <w:rPr>
          <w:lang w:val="en-US"/>
        </w:rPr>
        <w:t xml:space="preserve">pathogen </w:t>
      </w:r>
      <w:r w:rsidR="00585FC8">
        <w:rPr>
          <w:lang w:val="en-US"/>
        </w:rPr>
        <w:t xml:space="preserve">is </w:t>
      </w:r>
      <w:r w:rsidR="003C087F">
        <w:rPr>
          <w:lang w:val="en-US"/>
        </w:rPr>
        <w:t>under attack, the T22 hyphae coil around its host, and produce</w:t>
      </w:r>
      <w:r w:rsidR="00C46123">
        <w:rPr>
          <w:lang w:val="en-US"/>
        </w:rPr>
        <w:t xml:space="preserve"> </w:t>
      </w:r>
      <w:r w:rsidR="003C087F" w:rsidRPr="009D1F0F">
        <w:rPr>
          <w:lang w:val="en-US"/>
        </w:rPr>
        <w:t xml:space="preserve">chitinase and β-1,3 </w:t>
      </w:r>
      <w:proofErr w:type="spellStart"/>
      <w:r w:rsidR="003C087F" w:rsidRPr="009D1F0F">
        <w:rPr>
          <w:lang w:val="en-US"/>
        </w:rPr>
        <w:t>glucanase</w:t>
      </w:r>
      <w:proofErr w:type="spellEnd"/>
      <w:r w:rsidR="003C087F" w:rsidRPr="009D1F0F">
        <w:rPr>
          <w:lang w:val="en-US"/>
        </w:rPr>
        <w:t xml:space="preserve"> enzyme</w:t>
      </w:r>
      <w:r w:rsidR="003C087F">
        <w:rPr>
          <w:lang w:val="en-US"/>
        </w:rPr>
        <w:t xml:space="preserve">s which produce scars, pits and perforations in the pathogen hyphal wall causing leakage of cellular contents (Harman </w:t>
      </w:r>
      <w:r w:rsidR="003C087F" w:rsidRPr="00776A0E">
        <w:rPr>
          <w:i/>
          <w:iCs/>
          <w:lang w:val="en-US"/>
        </w:rPr>
        <w:t>et al</w:t>
      </w:r>
      <w:r w:rsidR="003C087F">
        <w:rPr>
          <w:lang w:val="en-US"/>
        </w:rPr>
        <w:t>., 2004</w:t>
      </w:r>
      <w:r w:rsidR="00820A26">
        <w:rPr>
          <w:lang w:val="en-US"/>
        </w:rPr>
        <w:t>a</w:t>
      </w:r>
      <w:r w:rsidR="003C087F">
        <w:rPr>
          <w:lang w:val="en-US"/>
        </w:rPr>
        <w:t>; Harman, 2006).</w:t>
      </w:r>
      <w:r w:rsidR="00FA3371">
        <w:rPr>
          <w:lang w:val="en-US"/>
        </w:rPr>
        <w:t xml:space="preserve"> </w:t>
      </w:r>
      <w:r w:rsidR="00585FC8">
        <w:rPr>
          <w:lang w:val="en-US"/>
        </w:rPr>
        <w:t>T</w:t>
      </w:r>
      <w:r w:rsidR="00D21D5A">
        <w:rPr>
          <w:lang w:val="en-US"/>
        </w:rPr>
        <w:t>2</w:t>
      </w:r>
      <w:r w:rsidR="00585FC8">
        <w:rPr>
          <w:lang w:val="en-US"/>
        </w:rPr>
        <w:t>2</w:t>
      </w:r>
      <w:r w:rsidR="00D21D5A">
        <w:rPr>
          <w:lang w:val="en-US"/>
        </w:rPr>
        <w:t xml:space="preserve"> </w:t>
      </w:r>
      <w:r w:rsidR="00585FC8">
        <w:rPr>
          <w:lang w:val="en-US"/>
        </w:rPr>
        <w:t xml:space="preserve">produces </w:t>
      </w:r>
      <w:r w:rsidR="00731A77">
        <w:rPr>
          <w:lang w:val="en-US"/>
        </w:rPr>
        <w:t xml:space="preserve">  secondary metabolites </w:t>
      </w:r>
      <w:r w:rsidR="00585FC8">
        <w:rPr>
          <w:lang w:val="en-US"/>
        </w:rPr>
        <w:t xml:space="preserve">in artificial culture and </w:t>
      </w:r>
      <w:r w:rsidR="00731A77">
        <w:rPr>
          <w:lang w:val="en-US"/>
        </w:rPr>
        <w:t xml:space="preserve">under natural conditions in the plant’s rhizosphere </w:t>
      </w:r>
      <w:r w:rsidR="00D21D5A">
        <w:rPr>
          <w:lang w:val="en-US"/>
        </w:rPr>
        <w:t xml:space="preserve">at </w:t>
      </w:r>
      <w:r w:rsidR="00585FC8">
        <w:rPr>
          <w:lang w:val="en-US"/>
        </w:rPr>
        <w:t xml:space="preserve">concentrations which are </w:t>
      </w:r>
      <w:r w:rsidR="00D21D5A">
        <w:rPr>
          <w:lang w:val="en-US"/>
        </w:rPr>
        <w:t>fungitoxic</w:t>
      </w:r>
      <w:r w:rsidR="00585FC8">
        <w:rPr>
          <w:lang w:val="en-US"/>
        </w:rPr>
        <w:t xml:space="preserve"> to pathogens </w:t>
      </w:r>
      <w:r w:rsidR="00A52ADE">
        <w:rPr>
          <w:lang w:val="en-US"/>
        </w:rPr>
        <w:t>(</w:t>
      </w:r>
      <w:r w:rsidR="00D61DA5">
        <w:rPr>
          <w:lang w:val="en-US"/>
        </w:rPr>
        <w:t xml:space="preserve">Hanson, 2005; </w:t>
      </w:r>
      <w:proofErr w:type="spellStart"/>
      <w:r w:rsidR="00A52ADE">
        <w:rPr>
          <w:lang w:val="en-US"/>
        </w:rPr>
        <w:t>Vinale</w:t>
      </w:r>
      <w:proofErr w:type="spellEnd"/>
      <w:r w:rsidR="00A52ADE">
        <w:rPr>
          <w:lang w:val="en-US"/>
        </w:rPr>
        <w:t xml:space="preserve"> </w:t>
      </w:r>
      <w:r w:rsidR="00A52ADE" w:rsidRPr="00776A0E">
        <w:rPr>
          <w:i/>
          <w:iCs/>
          <w:lang w:val="en-US"/>
        </w:rPr>
        <w:t>et al</w:t>
      </w:r>
      <w:r w:rsidR="00A52ADE">
        <w:rPr>
          <w:lang w:val="en-US"/>
        </w:rPr>
        <w:t>., 2006</w:t>
      </w:r>
      <w:r w:rsidR="00D21D5A">
        <w:rPr>
          <w:lang w:val="en-US"/>
        </w:rPr>
        <w:t xml:space="preserve">; Harman, 2006). </w:t>
      </w:r>
      <w:r w:rsidR="00A52ADE">
        <w:rPr>
          <w:lang w:val="en-US"/>
        </w:rPr>
        <w:t xml:space="preserve"> </w:t>
      </w:r>
      <w:r w:rsidR="004C6AC7">
        <w:rPr>
          <w:lang w:val="en-US"/>
        </w:rPr>
        <w:t xml:space="preserve">T22 is rhizosphere competent and occupies the root surface preventing fungal plant pathogens access to the root surface or infection court. The biocontrol agent is also able to penetrate root epidermal cells </w:t>
      </w:r>
      <w:r w:rsidR="00FB514F">
        <w:rPr>
          <w:lang w:val="en-US"/>
        </w:rPr>
        <w:t xml:space="preserve">causing </w:t>
      </w:r>
      <w:r w:rsidR="004C6AC7">
        <w:rPr>
          <w:lang w:val="en-US"/>
        </w:rPr>
        <w:t xml:space="preserve">the production and release of a variety </w:t>
      </w:r>
      <w:r w:rsidR="004C6AC7" w:rsidRPr="001C1527">
        <w:rPr>
          <w:rFonts w:cs="Helvetica"/>
          <w:color w:val="202020"/>
          <w:lang w:val="en"/>
        </w:rPr>
        <w:t xml:space="preserve">of compounds that </w:t>
      </w:r>
      <w:r w:rsidR="004C6AC7">
        <w:rPr>
          <w:rFonts w:cs="Helvetica"/>
          <w:color w:val="202020"/>
          <w:lang w:val="en"/>
        </w:rPr>
        <w:t xml:space="preserve">lead to induced systemic resistance and pathogen suppression </w:t>
      </w:r>
      <w:r w:rsidR="00CA61AE">
        <w:rPr>
          <w:rFonts w:cs="Helvetica"/>
          <w:color w:val="202020"/>
          <w:lang w:val="en"/>
        </w:rPr>
        <w:t>on the shoot</w:t>
      </w:r>
      <w:r w:rsidR="00FB514F">
        <w:rPr>
          <w:rFonts w:cs="Helvetica"/>
          <w:color w:val="202020"/>
          <w:lang w:val="en"/>
        </w:rPr>
        <w:t xml:space="preserve"> </w:t>
      </w:r>
      <w:r w:rsidR="004C6AC7">
        <w:rPr>
          <w:rFonts w:cs="Helvetica"/>
          <w:color w:val="202020"/>
          <w:lang w:val="en"/>
        </w:rPr>
        <w:t xml:space="preserve">remote from </w:t>
      </w:r>
      <w:r w:rsidR="00FB514F">
        <w:rPr>
          <w:rFonts w:cs="Helvetica"/>
          <w:color w:val="202020"/>
          <w:lang w:val="en"/>
        </w:rPr>
        <w:t xml:space="preserve">T22’s original point of entry </w:t>
      </w:r>
      <w:r w:rsidR="00CA61AE">
        <w:rPr>
          <w:rFonts w:cs="Helvetica"/>
          <w:color w:val="202020"/>
          <w:lang w:val="en"/>
        </w:rPr>
        <w:t xml:space="preserve">on the </w:t>
      </w:r>
      <w:r w:rsidR="00FB514F">
        <w:rPr>
          <w:rFonts w:cs="Helvetica"/>
          <w:color w:val="202020"/>
          <w:lang w:val="en"/>
        </w:rPr>
        <w:t>root</w:t>
      </w:r>
      <w:r w:rsidR="00961B3F">
        <w:rPr>
          <w:rFonts w:cs="Helvetica"/>
          <w:color w:val="202020"/>
          <w:lang w:val="en"/>
        </w:rPr>
        <w:t xml:space="preserve"> (Heil &amp; Bostock, 2002).</w:t>
      </w:r>
      <w:r w:rsidR="00961B3F" w:rsidRPr="00961B3F">
        <w:rPr>
          <w:lang w:val="en-US"/>
        </w:rPr>
        <w:t xml:space="preserve"> </w:t>
      </w:r>
      <w:r w:rsidR="00961B3F">
        <w:rPr>
          <w:lang w:val="en-US"/>
        </w:rPr>
        <w:t xml:space="preserve">Root application of </w:t>
      </w:r>
      <w:r w:rsidR="00961B3F" w:rsidRPr="00776A0E">
        <w:rPr>
          <w:i/>
          <w:iCs/>
          <w:lang w:val="en-US"/>
        </w:rPr>
        <w:t>T. harzianum</w:t>
      </w:r>
      <w:r w:rsidR="00961B3F">
        <w:rPr>
          <w:lang w:val="en-US"/>
        </w:rPr>
        <w:t xml:space="preserve"> strain T22 reduces foliar infections in tomato p</w:t>
      </w:r>
      <w:r w:rsidR="00961B3F" w:rsidRPr="00A141B9">
        <w:rPr>
          <w:lang w:val="en-US"/>
        </w:rPr>
        <w:t xml:space="preserve">lants </w:t>
      </w:r>
      <w:r w:rsidR="00961B3F">
        <w:rPr>
          <w:lang w:val="en-US"/>
        </w:rPr>
        <w:t>against cucumber mosaic virus (</w:t>
      </w:r>
      <w:proofErr w:type="spellStart"/>
      <w:r w:rsidR="00961B3F">
        <w:rPr>
          <w:lang w:val="en-US"/>
        </w:rPr>
        <w:t>Vitti</w:t>
      </w:r>
      <w:proofErr w:type="spellEnd"/>
      <w:r w:rsidR="00961B3F">
        <w:rPr>
          <w:lang w:val="en-US"/>
        </w:rPr>
        <w:t xml:space="preserve"> </w:t>
      </w:r>
      <w:r w:rsidR="00961B3F" w:rsidRPr="00E710EA">
        <w:rPr>
          <w:i/>
          <w:iCs/>
          <w:lang w:val="en-US"/>
        </w:rPr>
        <w:t>et al</w:t>
      </w:r>
      <w:r w:rsidR="00961B3F">
        <w:rPr>
          <w:lang w:val="en-US"/>
        </w:rPr>
        <w:t xml:space="preserve">., 2016) and </w:t>
      </w:r>
      <w:r w:rsidR="00961B3F" w:rsidRPr="00A04D11">
        <w:rPr>
          <w:i/>
          <w:iCs/>
          <w:lang w:val="en-US"/>
        </w:rPr>
        <w:t xml:space="preserve">Alternaria </w:t>
      </w:r>
      <w:proofErr w:type="spellStart"/>
      <w:r w:rsidR="00961B3F" w:rsidRPr="00A04D11">
        <w:rPr>
          <w:i/>
          <w:iCs/>
          <w:lang w:val="en-US"/>
        </w:rPr>
        <w:t>solani</w:t>
      </w:r>
      <w:proofErr w:type="spellEnd"/>
      <w:r w:rsidR="00961B3F">
        <w:rPr>
          <w:lang w:val="en-US"/>
        </w:rPr>
        <w:t xml:space="preserve"> (Harman </w:t>
      </w:r>
      <w:r w:rsidR="00961B3F" w:rsidRPr="00776A0E">
        <w:rPr>
          <w:i/>
          <w:iCs/>
          <w:lang w:val="en-US"/>
        </w:rPr>
        <w:t>et al</w:t>
      </w:r>
      <w:r w:rsidR="00961B3F">
        <w:rPr>
          <w:lang w:val="en-US"/>
        </w:rPr>
        <w:t>., 2004</w:t>
      </w:r>
      <w:r w:rsidR="00D113B0">
        <w:rPr>
          <w:lang w:val="en-US"/>
        </w:rPr>
        <w:t>a</w:t>
      </w:r>
      <w:r w:rsidR="00961B3F">
        <w:rPr>
          <w:lang w:val="en-US"/>
        </w:rPr>
        <w:t xml:space="preserve">). Maize seeds treated with T22 increased plant resistance against foliar anthracnose caused by </w:t>
      </w:r>
      <w:r w:rsidR="00961B3F" w:rsidRPr="00B23DBC">
        <w:rPr>
          <w:i/>
          <w:iCs/>
          <w:lang w:val="en-US"/>
        </w:rPr>
        <w:t xml:space="preserve">Colletotrichum </w:t>
      </w:r>
      <w:proofErr w:type="spellStart"/>
      <w:r w:rsidR="00961B3F" w:rsidRPr="00B23DBC">
        <w:rPr>
          <w:i/>
          <w:iCs/>
          <w:lang w:val="en-US"/>
        </w:rPr>
        <w:t>graminicola</w:t>
      </w:r>
      <w:proofErr w:type="spellEnd"/>
      <w:r w:rsidR="00961B3F">
        <w:rPr>
          <w:lang w:val="en-US"/>
        </w:rPr>
        <w:t xml:space="preserve"> (Harmen </w:t>
      </w:r>
      <w:r w:rsidR="00961B3F" w:rsidRPr="00776A0E">
        <w:rPr>
          <w:i/>
          <w:iCs/>
          <w:lang w:val="en-US"/>
        </w:rPr>
        <w:t>et al</w:t>
      </w:r>
      <w:r w:rsidR="00961B3F">
        <w:rPr>
          <w:lang w:val="en-US"/>
        </w:rPr>
        <w:t>., 2004b).</w:t>
      </w:r>
    </w:p>
    <w:p w14:paraId="4DC909E8" w14:textId="447AD27C" w:rsidR="007B7FB7" w:rsidRPr="007B7FB7" w:rsidRDefault="002A074A">
      <w:pPr>
        <w:rPr>
          <w:b/>
          <w:lang w:val="en-US"/>
        </w:rPr>
      </w:pPr>
      <w:r>
        <w:rPr>
          <w:b/>
          <w:lang w:val="en-US"/>
        </w:rPr>
        <w:t>Nursery t</w:t>
      </w:r>
      <w:r w:rsidR="007B7FB7" w:rsidRPr="007B7FB7">
        <w:rPr>
          <w:b/>
          <w:lang w:val="en-US"/>
        </w:rPr>
        <w:t xml:space="preserve">rials </w:t>
      </w:r>
      <w:r w:rsidR="00C46123">
        <w:rPr>
          <w:b/>
          <w:lang w:val="en-US"/>
        </w:rPr>
        <w:t xml:space="preserve">and </w:t>
      </w:r>
      <w:r>
        <w:rPr>
          <w:b/>
          <w:lang w:val="en-US"/>
        </w:rPr>
        <w:t>experiments</w:t>
      </w:r>
    </w:p>
    <w:p w14:paraId="7C81751F" w14:textId="60FBF252" w:rsidR="009B6B1B" w:rsidRPr="009B6B1B" w:rsidRDefault="00070D90">
      <w:pPr>
        <w:rPr>
          <w:b/>
          <w:bCs/>
        </w:rPr>
      </w:pPr>
      <w:r>
        <w:rPr>
          <w:b/>
          <w:bCs/>
        </w:rPr>
        <w:t>Vidi Parva</w:t>
      </w:r>
      <w:r w:rsidR="00CE0FBC">
        <w:rPr>
          <w:b/>
          <w:bCs/>
        </w:rPr>
        <w:t xml:space="preserve"> </w:t>
      </w:r>
      <w:r w:rsidR="00BC4840">
        <w:rPr>
          <w:b/>
          <w:bCs/>
        </w:rPr>
        <w:t xml:space="preserve">and </w:t>
      </w:r>
      <w:r w:rsidR="00CE0FBC">
        <w:rPr>
          <w:b/>
          <w:bCs/>
        </w:rPr>
        <w:t xml:space="preserve">T22 spore germination </w:t>
      </w:r>
    </w:p>
    <w:p w14:paraId="522A46F1" w14:textId="6CA7B620" w:rsidR="00455E7E" w:rsidRDefault="00923727">
      <w:r>
        <w:t>Trianum</w:t>
      </w:r>
      <w:r w:rsidR="00CA70CE">
        <w:t xml:space="preserve">-P </w:t>
      </w:r>
      <w:r w:rsidR="009C0D9C">
        <w:t xml:space="preserve">can be applied with </w:t>
      </w:r>
      <w:r>
        <w:t>Vidi</w:t>
      </w:r>
      <w:r w:rsidR="009C0D9C">
        <w:t xml:space="preserve"> </w:t>
      </w:r>
      <w:r w:rsidR="00723831">
        <w:t xml:space="preserve">Parva </w:t>
      </w:r>
      <w:r>
        <w:t xml:space="preserve">to provide </w:t>
      </w:r>
      <w:r w:rsidR="009C0D9C">
        <w:t xml:space="preserve">root growth benefits and a disease prevention measure at the same time. </w:t>
      </w:r>
      <w:r>
        <w:t xml:space="preserve">Vidi Parva is a </w:t>
      </w:r>
      <w:r w:rsidR="00064CB6">
        <w:t>100% natural plant</w:t>
      </w:r>
      <w:r w:rsidR="00795991">
        <w:t>-</w:t>
      </w:r>
      <w:r w:rsidR="00064CB6">
        <w:t xml:space="preserve">based biostimulant which is manufactured using cold compressed seaweed extracts from </w:t>
      </w:r>
      <w:proofErr w:type="spellStart"/>
      <w:r w:rsidR="00064CB6" w:rsidRPr="008100BE">
        <w:rPr>
          <w:i/>
          <w:iCs/>
        </w:rPr>
        <w:t>Ascophyllum</w:t>
      </w:r>
      <w:proofErr w:type="spellEnd"/>
      <w:r w:rsidR="00064CB6" w:rsidRPr="008100BE">
        <w:rPr>
          <w:i/>
          <w:iCs/>
        </w:rPr>
        <w:t xml:space="preserve"> nodosum</w:t>
      </w:r>
      <w:r w:rsidR="00064CB6">
        <w:t>.</w:t>
      </w:r>
      <w:r>
        <w:t xml:space="preserve"> </w:t>
      </w:r>
      <w:r w:rsidR="00064CB6">
        <w:t xml:space="preserve">The </w:t>
      </w:r>
      <w:r w:rsidR="009C0D9C">
        <w:t>L-</w:t>
      </w:r>
      <w:r w:rsidR="00064CB6">
        <w:t xml:space="preserve">tryptophan content of Vidi Parva is </w:t>
      </w:r>
      <w:r w:rsidR="006C7A26">
        <w:t>a</w:t>
      </w:r>
      <w:r w:rsidR="00064CB6">
        <w:t xml:space="preserve"> pre-cursor amino acid involved in the production of </w:t>
      </w:r>
      <w:r w:rsidR="00795991">
        <w:t xml:space="preserve">plant </w:t>
      </w:r>
      <w:r w:rsidR="00064CB6">
        <w:t>auxins</w:t>
      </w:r>
      <w:r w:rsidR="006113FC">
        <w:t xml:space="preserve"> (Zhao, 2012)</w:t>
      </w:r>
      <w:r w:rsidR="00064CB6">
        <w:t>. Specific auxins stimulate the formation of root branches and root hairs</w:t>
      </w:r>
      <w:r w:rsidR="00795991">
        <w:t xml:space="preserve"> and supports the development of a strong plug plant with a </w:t>
      </w:r>
      <w:r w:rsidR="00003165">
        <w:t>well-developed</w:t>
      </w:r>
      <w:r w:rsidR="00795991">
        <w:t xml:space="preserve"> root system</w:t>
      </w:r>
      <w:r w:rsidR="00676E64">
        <w:t xml:space="preserve"> (</w:t>
      </w:r>
      <w:proofErr w:type="spellStart"/>
      <w:r w:rsidR="00676E64">
        <w:t>Nibau</w:t>
      </w:r>
      <w:proofErr w:type="spellEnd"/>
      <w:r w:rsidR="00676E64">
        <w:t>, 2008)</w:t>
      </w:r>
      <w:r w:rsidR="00064CB6">
        <w:t xml:space="preserve">. </w:t>
      </w:r>
    </w:p>
    <w:p w14:paraId="4DDEB2D2" w14:textId="686E029C" w:rsidR="00417D9B" w:rsidRDefault="0045543B" w:rsidP="00417D9B">
      <w:pPr>
        <w:rPr>
          <w:lang w:val="en-US"/>
        </w:rPr>
      </w:pPr>
      <w:r>
        <w:rPr>
          <w:lang w:val="en-US"/>
        </w:rPr>
        <w:t xml:space="preserve">A static culture experiment was carried out on three separate occasions to determine </w:t>
      </w:r>
      <w:r w:rsidR="00485E13">
        <w:rPr>
          <w:lang w:val="en-US"/>
        </w:rPr>
        <w:t xml:space="preserve">if </w:t>
      </w:r>
      <w:r>
        <w:rPr>
          <w:lang w:val="en-US"/>
        </w:rPr>
        <w:t>Vidi Par</w:t>
      </w:r>
      <w:r w:rsidR="00422B38">
        <w:rPr>
          <w:lang w:val="en-US"/>
        </w:rPr>
        <w:t xml:space="preserve">va </w:t>
      </w:r>
      <w:r w:rsidR="009579CE">
        <w:rPr>
          <w:lang w:val="en-US"/>
        </w:rPr>
        <w:t xml:space="preserve">can act as a source of nutrition and directly benefit the growth of T22 </w:t>
      </w:r>
      <w:r w:rsidR="00422B38">
        <w:rPr>
          <w:lang w:val="en-US"/>
        </w:rPr>
        <w:t xml:space="preserve">mycelium. </w:t>
      </w:r>
      <w:r w:rsidR="00C372B3">
        <w:rPr>
          <w:lang w:val="en-US"/>
        </w:rPr>
        <w:t>Th</w:t>
      </w:r>
      <w:r w:rsidR="005B2235">
        <w:rPr>
          <w:lang w:val="en-US"/>
        </w:rPr>
        <w:t xml:space="preserve">e assessment </w:t>
      </w:r>
      <w:r w:rsidR="00C372B3">
        <w:rPr>
          <w:lang w:val="en-US"/>
        </w:rPr>
        <w:t xml:space="preserve">was </w:t>
      </w:r>
      <w:r w:rsidR="005B2235">
        <w:rPr>
          <w:lang w:val="en-US"/>
        </w:rPr>
        <w:t xml:space="preserve">based on </w:t>
      </w:r>
      <w:r w:rsidR="00C372B3">
        <w:rPr>
          <w:lang w:val="en-US"/>
        </w:rPr>
        <w:t xml:space="preserve">a visual estimate of the percentage volume of solution that was occupied by T22 mycelium. </w:t>
      </w:r>
      <w:r w:rsidR="00417D9B">
        <w:rPr>
          <w:lang w:val="en-US"/>
        </w:rPr>
        <w:t>The most concentrated solution was prepared by adding 5</w:t>
      </w:r>
      <w:r w:rsidR="00C46123">
        <w:rPr>
          <w:lang w:val="en-US"/>
        </w:rPr>
        <w:t xml:space="preserve"> </w:t>
      </w:r>
      <w:r w:rsidR="00417D9B">
        <w:rPr>
          <w:lang w:val="en-US"/>
        </w:rPr>
        <w:t xml:space="preserve">ml of </w:t>
      </w:r>
      <w:proofErr w:type="spellStart"/>
      <w:r w:rsidR="00417D9B">
        <w:rPr>
          <w:lang w:val="en-US"/>
        </w:rPr>
        <w:t>Vidi</w:t>
      </w:r>
      <w:proofErr w:type="spellEnd"/>
      <w:r w:rsidR="00417D9B">
        <w:rPr>
          <w:lang w:val="en-US"/>
        </w:rPr>
        <w:t xml:space="preserve"> Parva to 95</w:t>
      </w:r>
      <w:r w:rsidR="00C46123">
        <w:rPr>
          <w:lang w:val="en-US"/>
        </w:rPr>
        <w:t xml:space="preserve"> </w:t>
      </w:r>
      <w:r w:rsidR="00417D9B">
        <w:rPr>
          <w:lang w:val="en-US"/>
        </w:rPr>
        <w:t>ml of tap water in 150</w:t>
      </w:r>
      <w:r w:rsidR="004054A3">
        <w:rPr>
          <w:lang w:val="en-US"/>
        </w:rPr>
        <w:t xml:space="preserve"> </w:t>
      </w:r>
      <w:r w:rsidR="00417D9B">
        <w:rPr>
          <w:lang w:val="en-US"/>
        </w:rPr>
        <w:t xml:space="preserve">ml clear plastic bottles, and this was </w:t>
      </w:r>
      <w:r w:rsidR="00422B38">
        <w:rPr>
          <w:lang w:val="en-US"/>
        </w:rPr>
        <w:t xml:space="preserve">used to perform a </w:t>
      </w:r>
      <w:r w:rsidR="00417D9B">
        <w:rPr>
          <w:lang w:val="en-US"/>
        </w:rPr>
        <w:t xml:space="preserve">100-fold serial dilution to produce </w:t>
      </w:r>
      <w:r w:rsidR="00C46123">
        <w:rPr>
          <w:lang w:val="en-US"/>
        </w:rPr>
        <w:t>seven</w:t>
      </w:r>
      <w:r w:rsidR="00417D9B">
        <w:rPr>
          <w:lang w:val="en-US"/>
        </w:rPr>
        <w:t xml:space="preserve"> </w:t>
      </w:r>
      <w:proofErr w:type="spellStart"/>
      <w:r w:rsidR="00417D9B">
        <w:rPr>
          <w:lang w:val="en-US"/>
        </w:rPr>
        <w:t>Vidi</w:t>
      </w:r>
      <w:proofErr w:type="spellEnd"/>
      <w:r w:rsidR="00417D9B">
        <w:rPr>
          <w:lang w:val="en-US"/>
        </w:rPr>
        <w:t xml:space="preserve"> Parva dilutions in total. There was 100</w:t>
      </w:r>
      <w:r w:rsidR="004054A3">
        <w:rPr>
          <w:lang w:val="en-US"/>
        </w:rPr>
        <w:t xml:space="preserve"> </w:t>
      </w:r>
      <w:r w:rsidR="00417D9B">
        <w:rPr>
          <w:lang w:val="en-US"/>
        </w:rPr>
        <w:t>ml of solution per container and each solution was inoculated with 0.05</w:t>
      </w:r>
      <w:r w:rsidR="00C46123">
        <w:rPr>
          <w:lang w:val="en-US"/>
        </w:rPr>
        <w:t xml:space="preserve"> </w:t>
      </w:r>
      <w:r w:rsidR="00417D9B">
        <w:rPr>
          <w:lang w:val="en-US"/>
        </w:rPr>
        <w:t xml:space="preserve">g of </w:t>
      </w:r>
      <w:proofErr w:type="spellStart"/>
      <w:r w:rsidR="00417D9B">
        <w:rPr>
          <w:lang w:val="en-US"/>
        </w:rPr>
        <w:t>Trianum</w:t>
      </w:r>
      <w:proofErr w:type="spellEnd"/>
      <w:r w:rsidR="00CA70CE">
        <w:rPr>
          <w:lang w:val="en-US"/>
        </w:rPr>
        <w:t>-</w:t>
      </w:r>
      <w:r w:rsidR="00417D9B">
        <w:rPr>
          <w:lang w:val="en-US"/>
        </w:rPr>
        <w:t>P. The containers were sealed with a lid and maintained at room temperature (18-21</w:t>
      </w:r>
      <w:r w:rsidR="00417D9B" w:rsidRPr="00E0334C">
        <w:rPr>
          <w:vertAlign w:val="superscript"/>
          <w:lang w:val="en-US"/>
        </w:rPr>
        <w:t>o</w:t>
      </w:r>
      <w:r w:rsidR="00417D9B">
        <w:rPr>
          <w:lang w:val="en-US"/>
        </w:rPr>
        <w:t>C) for 7 days. The 0.05% test dilution was the closest concentration that matched the recommended application rate for Vidi Parva (1-2ml/m</w:t>
      </w:r>
      <w:r w:rsidR="00417D9B" w:rsidRPr="00E16F5F">
        <w:rPr>
          <w:vertAlign w:val="superscript"/>
          <w:lang w:val="en-US"/>
        </w:rPr>
        <w:t>2</w:t>
      </w:r>
      <w:r w:rsidR="00417D9B">
        <w:rPr>
          <w:lang w:val="en-US"/>
        </w:rPr>
        <w:t xml:space="preserve"> in 1-2 </w:t>
      </w:r>
      <w:proofErr w:type="spellStart"/>
      <w:r w:rsidR="00417D9B">
        <w:rPr>
          <w:lang w:val="en-US"/>
        </w:rPr>
        <w:t>l</w:t>
      </w:r>
      <w:r w:rsidR="004054A3">
        <w:rPr>
          <w:lang w:val="en-US"/>
        </w:rPr>
        <w:t>itres</w:t>
      </w:r>
      <w:proofErr w:type="spellEnd"/>
      <w:r w:rsidR="00417D9B">
        <w:rPr>
          <w:lang w:val="en-US"/>
        </w:rPr>
        <w:t xml:space="preserve"> of water) in </w:t>
      </w:r>
      <w:r w:rsidR="00C372B3">
        <w:rPr>
          <w:lang w:val="en-US"/>
        </w:rPr>
        <w:t xml:space="preserve">commercial </w:t>
      </w:r>
      <w:r w:rsidR="00417D9B">
        <w:rPr>
          <w:lang w:val="en-US"/>
        </w:rPr>
        <w:t xml:space="preserve">plant propagation situations. </w:t>
      </w:r>
    </w:p>
    <w:p w14:paraId="7A1B0A68" w14:textId="2A600BA6" w:rsidR="00271211" w:rsidRPr="009D5711" w:rsidRDefault="00271211" w:rsidP="00271211">
      <w:pPr>
        <w:rPr>
          <w:lang w:val="en-US"/>
        </w:rPr>
      </w:pPr>
      <w:r>
        <w:rPr>
          <w:lang w:val="en-US"/>
        </w:rPr>
        <w:t xml:space="preserve">T22 spore germination was evident after 2 days in all solutions except the most concentrated solution (5%).  The 0.05% solution </w:t>
      </w:r>
      <w:r w:rsidR="005B2235">
        <w:rPr>
          <w:lang w:val="en-US"/>
        </w:rPr>
        <w:t>produced more biomass within the firs</w:t>
      </w:r>
      <w:r>
        <w:rPr>
          <w:lang w:val="en-US"/>
        </w:rPr>
        <w:t xml:space="preserve">t </w:t>
      </w:r>
      <w:r w:rsidR="001C26CA">
        <w:rPr>
          <w:lang w:val="en-US"/>
        </w:rPr>
        <w:t>two</w:t>
      </w:r>
      <w:r>
        <w:rPr>
          <w:lang w:val="en-US"/>
        </w:rPr>
        <w:t xml:space="preserve"> days</w:t>
      </w:r>
      <w:r w:rsidR="005B2235">
        <w:rPr>
          <w:lang w:val="en-US"/>
        </w:rPr>
        <w:t xml:space="preserve"> than any other solution.</w:t>
      </w:r>
      <w:r w:rsidR="00422B38">
        <w:rPr>
          <w:lang w:val="en-US"/>
        </w:rPr>
        <w:t xml:space="preserve"> In the weakest solutions </w:t>
      </w:r>
      <w:r>
        <w:rPr>
          <w:lang w:val="en-US"/>
        </w:rPr>
        <w:t>(5x10</w:t>
      </w:r>
      <w:r w:rsidRPr="005A4F8A">
        <w:rPr>
          <w:vertAlign w:val="superscript"/>
          <w:lang w:val="en-US"/>
        </w:rPr>
        <w:t>-10</w:t>
      </w:r>
      <w:r>
        <w:rPr>
          <w:lang w:val="en-US"/>
        </w:rPr>
        <w:t xml:space="preserve"> and 5x10</w:t>
      </w:r>
      <w:r w:rsidRPr="005A4F8A">
        <w:rPr>
          <w:vertAlign w:val="superscript"/>
          <w:lang w:val="en-US"/>
        </w:rPr>
        <w:t>-12</w:t>
      </w:r>
      <w:r>
        <w:rPr>
          <w:lang w:val="en-US"/>
        </w:rPr>
        <w:t xml:space="preserve">) </w:t>
      </w:r>
      <w:r w:rsidR="00422B38">
        <w:rPr>
          <w:lang w:val="en-US"/>
        </w:rPr>
        <w:t xml:space="preserve">the small quantity of mycelium was similar to the </w:t>
      </w:r>
      <w:r>
        <w:rPr>
          <w:lang w:val="en-US"/>
        </w:rPr>
        <w:t xml:space="preserve">water control. </w:t>
      </w:r>
      <w:r w:rsidR="00422B38">
        <w:rPr>
          <w:lang w:val="en-US"/>
        </w:rPr>
        <w:t xml:space="preserve">The results suggest </w:t>
      </w:r>
      <w:r>
        <w:rPr>
          <w:lang w:val="en-US"/>
        </w:rPr>
        <w:t xml:space="preserve">that </w:t>
      </w:r>
      <w:r w:rsidR="00B16A63">
        <w:rPr>
          <w:lang w:val="en-US"/>
        </w:rPr>
        <w:t xml:space="preserve">the commercial rate used for root development purposes could feasibly promote the development of T22 </w:t>
      </w:r>
      <w:r>
        <w:rPr>
          <w:lang w:val="en-US"/>
        </w:rPr>
        <w:t xml:space="preserve">when used together in </w:t>
      </w:r>
      <w:r w:rsidR="00B16A63">
        <w:rPr>
          <w:lang w:val="en-US"/>
        </w:rPr>
        <w:t xml:space="preserve">a plant production environment. </w:t>
      </w:r>
      <w:r>
        <w:rPr>
          <w:lang w:val="en-US"/>
        </w:rPr>
        <w:t xml:space="preserve"> </w:t>
      </w:r>
    </w:p>
    <w:p w14:paraId="3CA80C1B" w14:textId="77777777" w:rsidR="00110856" w:rsidRDefault="00110856">
      <w:pPr>
        <w:rPr>
          <w:b/>
          <w:bCs/>
        </w:rPr>
      </w:pPr>
    </w:p>
    <w:p w14:paraId="4A4B19E7" w14:textId="56D175FB" w:rsidR="00911AC0" w:rsidRDefault="00070D90">
      <w:pPr>
        <w:rPr>
          <w:b/>
          <w:bCs/>
        </w:rPr>
      </w:pPr>
      <w:proofErr w:type="spellStart"/>
      <w:r w:rsidRPr="00070D90">
        <w:rPr>
          <w:b/>
          <w:bCs/>
        </w:rPr>
        <w:lastRenderedPageBreak/>
        <w:t>Trianum</w:t>
      </w:r>
      <w:proofErr w:type="spellEnd"/>
      <w:r w:rsidR="00205A6E">
        <w:rPr>
          <w:b/>
          <w:bCs/>
        </w:rPr>
        <w:t>-P</w:t>
      </w:r>
      <w:r w:rsidRPr="00070D90">
        <w:rPr>
          <w:b/>
          <w:bCs/>
        </w:rPr>
        <w:t xml:space="preserve"> + </w:t>
      </w:r>
      <w:proofErr w:type="spellStart"/>
      <w:r w:rsidRPr="00070D90">
        <w:rPr>
          <w:b/>
          <w:bCs/>
        </w:rPr>
        <w:t>Vidi</w:t>
      </w:r>
      <w:proofErr w:type="spellEnd"/>
      <w:r w:rsidRPr="00070D90">
        <w:rPr>
          <w:b/>
          <w:bCs/>
        </w:rPr>
        <w:t xml:space="preserve"> </w:t>
      </w:r>
      <w:proofErr w:type="spellStart"/>
      <w:r w:rsidRPr="00070D90">
        <w:rPr>
          <w:b/>
          <w:bCs/>
        </w:rPr>
        <w:t>Funda</w:t>
      </w:r>
      <w:proofErr w:type="spellEnd"/>
    </w:p>
    <w:p w14:paraId="45E64CA9" w14:textId="020D6493" w:rsidR="007601FE" w:rsidRDefault="007601FE">
      <w:r>
        <w:t>The activity of resident disease antagonistic micro-organisms in soils can be stimulated by the addition of organic amendments such as farmyard manure, green manures and straw</w:t>
      </w:r>
      <w:r w:rsidR="00316FA8">
        <w:t xml:space="preserve">. </w:t>
      </w:r>
      <w:r>
        <w:t xml:space="preserve">These materials are freely available but vary in composition. </w:t>
      </w:r>
      <w:r w:rsidR="00AE0732">
        <w:t xml:space="preserve">In early product development work, the high quality </w:t>
      </w:r>
      <w:r w:rsidR="0033069A">
        <w:t>manufactured pelleted</w:t>
      </w:r>
      <w:r w:rsidR="00AE0732">
        <w:t xml:space="preserve"> organic amendment</w:t>
      </w:r>
      <w:r>
        <w:t xml:space="preserve"> </w:t>
      </w:r>
      <w:r w:rsidR="00AE0732">
        <w:t>Vidi Funda also increased the growth of various beneficial fungi.</w:t>
      </w:r>
      <w:r w:rsidR="0033069A">
        <w:t xml:space="preserve"> Therefore,</w:t>
      </w:r>
      <w:r w:rsidR="00AE0732">
        <w:t xml:space="preserve"> </w:t>
      </w:r>
      <w:r w:rsidR="0033069A">
        <w:t>the product was tested as a potential ‘solid-substrate partner’ for Trianum</w:t>
      </w:r>
      <w:r w:rsidR="00205A6E">
        <w:t>-</w:t>
      </w:r>
      <w:r w:rsidR="0033069A">
        <w:t xml:space="preserve">P. The product is sold as a soil conditioner and organic fertiliser delivering N, P and K (7:2:4) over 4-12 weeks. </w:t>
      </w:r>
    </w:p>
    <w:p w14:paraId="5396C7D1" w14:textId="397F17B6" w:rsidR="00B65709" w:rsidRDefault="0022045E">
      <w:r>
        <w:t xml:space="preserve">An experiment was set up to compare </w:t>
      </w:r>
      <w:r w:rsidR="00C46123">
        <w:t>six</w:t>
      </w:r>
      <w:r>
        <w:t xml:space="preserve"> treatments. There were three replicates per treatment. Each container</w:t>
      </w:r>
      <w:r w:rsidR="004045A5">
        <w:t xml:space="preserve"> (11x11x5.5</w:t>
      </w:r>
      <w:r w:rsidR="00A04D11">
        <w:t xml:space="preserve"> </w:t>
      </w:r>
      <w:r w:rsidR="004045A5">
        <w:t>cm)</w:t>
      </w:r>
      <w:r>
        <w:t xml:space="preserve"> consisted of 20</w:t>
      </w:r>
      <w:r w:rsidR="00A04D11">
        <w:t xml:space="preserve"> </w:t>
      </w:r>
      <w:r>
        <w:t xml:space="preserve">g of </w:t>
      </w:r>
      <w:proofErr w:type="spellStart"/>
      <w:r>
        <w:t>Klasmann</w:t>
      </w:r>
      <w:proofErr w:type="spellEnd"/>
      <w:r>
        <w:t xml:space="preserve"> bedding compost and either 2</w:t>
      </w:r>
      <w:r w:rsidR="00C46123">
        <w:t xml:space="preserve"> </w:t>
      </w:r>
      <w:r>
        <w:t xml:space="preserve">g of </w:t>
      </w:r>
      <w:proofErr w:type="spellStart"/>
      <w:r>
        <w:t>Vidi</w:t>
      </w:r>
      <w:proofErr w:type="spellEnd"/>
      <w:r>
        <w:t xml:space="preserve"> </w:t>
      </w:r>
      <w:proofErr w:type="spellStart"/>
      <w:r>
        <w:t>Funda</w:t>
      </w:r>
      <w:proofErr w:type="spellEnd"/>
      <w:r>
        <w:t xml:space="preserve"> (low rate) or 10</w:t>
      </w:r>
      <w:r w:rsidR="00C46123">
        <w:t xml:space="preserve"> </w:t>
      </w:r>
      <w:r>
        <w:t xml:space="preserve">g of </w:t>
      </w:r>
      <w:proofErr w:type="spellStart"/>
      <w:r>
        <w:t>Vidi</w:t>
      </w:r>
      <w:proofErr w:type="spellEnd"/>
      <w:r>
        <w:t xml:space="preserve"> </w:t>
      </w:r>
      <w:proofErr w:type="spellStart"/>
      <w:r>
        <w:t>Funda</w:t>
      </w:r>
      <w:proofErr w:type="spellEnd"/>
      <w:r>
        <w:t xml:space="preserve"> (high rate). </w:t>
      </w:r>
      <w:r w:rsidR="00F04BA0">
        <w:t xml:space="preserve"> Containers were either treated with 2</w:t>
      </w:r>
      <w:r w:rsidR="00C46123">
        <w:t xml:space="preserve"> </w:t>
      </w:r>
      <w:r w:rsidR="00F04BA0">
        <w:t xml:space="preserve">g </w:t>
      </w:r>
      <w:proofErr w:type="spellStart"/>
      <w:r w:rsidR="00F04BA0">
        <w:t>Trianum</w:t>
      </w:r>
      <w:proofErr w:type="spellEnd"/>
      <w:r w:rsidR="00205A6E">
        <w:t>-P</w:t>
      </w:r>
      <w:r w:rsidR="00F04BA0">
        <w:t>, 2</w:t>
      </w:r>
      <w:r w:rsidR="00C46123">
        <w:t xml:space="preserve"> </w:t>
      </w:r>
      <w:r w:rsidR="00F04BA0">
        <w:t xml:space="preserve">g </w:t>
      </w:r>
      <w:r w:rsidR="005334D3">
        <w:t xml:space="preserve">M149 (a coded trial product containing </w:t>
      </w:r>
      <w:r w:rsidR="005334D3" w:rsidRPr="00671643">
        <w:rPr>
          <w:i/>
          <w:iCs/>
        </w:rPr>
        <w:t xml:space="preserve">Trichoderma </w:t>
      </w:r>
      <w:proofErr w:type="spellStart"/>
      <w:r w:rsidR="005334D3" w:rsidRPr="00671643">
        <w:rPr>
          <w:i/>
          <w:iCs/>
        </w:rPr>
        <w:t>spp</w:t>
      </w:r>
      <w:proofErr w:type="spellEnd"/>
      <w:r w:rsidR="005334D3">
        <w:t xml:space="preserve">) </w:t>
      </w:r>
      <w:r w:rsidR="00F04BA0">
        <w:t xml:space="preserve">or remained </w:t>
      </w:r>
      <w:r w:rsidR="0033069A">
        <w:t xml:space="preserve">untreated. </w:t>
      </w:r>
      <w:r w:rsidR="00F04BA0">
        <w:t>All containers received 15</w:t>
      </w:r>
      <w:r w:rsidR="00C46123">
        <w:t xml:space="preserve"> </w:t>
      </w:r>
      <w:r w:rsidR="00F04BA0">
        <w:t>ml tap water and were lightly mixed with a spatula. The lidded containers were incubated at room temperature and checked for fungal colonisation over 28</w:t>
      </w:r>
      <w:r w:rsidR="00C46123">
        <w:t xml:space="preserve"> d</w:t>
      </w:r>
      <w:r w:rsidR="00F04BA0">
        <w:t>ay</w:t>
      </w:r>
      <w:r w:rsidR="0033069A">
        <w:t xml:space="preserve">s. </w:t>
      </w:r>
      <w:r w:rsidR="00E33B05">
        <w:t>The biomass produced by</w:t>
      </w:r>
      <w:r w:rsidR="004045A5">
        <w:t xml:space="preserve"> </w:t>
      </w:r>
      <w:r w:rsidR="005334D3">
        <w:t>M149</w:t>
      </w:r>
      <w:r w:rsidR="004045A5">
        <w:t xml:space="preserve"> and</w:t>
      </w:r>
      <w:r w:rsidR="00E33B05">
        <w:t xml:space="preserve"> Trianum</w:t>
      </w:r>
      <w:r w:rsidR="00205A6E">
        <w:t>-P</w:t>
      </w:r>
      <w:r w:rsidR="00E33B05">
        <w:t xml:space="preserve"> </w:t>
      </w:r>
      <w:r w:rsidR="005334D3">
        <w:t>w</w:t>
      </w:r>
      <w:r w:rsidR="00E33B05">
        <w:t xml:space="preserve">as increased </w:t>
      </w:r>
      <w:r w:rsidR="0033069A">
        <w:t xml:space="preserve">at both rates of Vidi </w:t>
      </w:r>
      <w:r w:rsidR="00E33B05">
        <w:t>Funda</w:t>
      </w:r>
      <w:r w:rsidR="0033069A">
        <w:t>, compared to untreated controls</w:t>
      </w:r>
      <w:r w:rsidR="00022337">
        <w:t xml:space="preserve">, but more biomass </w:t>
      </w:r>
      <w:r w:rsidR="00F82811">
        <w:t>was produced</w:t>
      </w:r>
      <w:r w:rsidR="00022337">
        <w:t xml:space="preserve"> at the high rate. </w:t>
      </w:r>
      <w:r w:rsidR="00E33B05">
        <w:t xml:space="preserve">This experiment demonstrated that the colonisation of </w:t>
      </w:r>
      <w:r w:rsidR="00022337">
        <w:t xml:space="preserve">non-sterile growing media by </w:t>
      </w:r>
      <w:r w:rsidR="00E33B05">
        <w:t>Trianum</w:t>
      </w:r>
      <w:r w:rsidR="00205A6E">
        <w:t>-P</w:t>
      </w:r>
      <w:r w:rsidR="00E33B05">
        <w:t xml:space="preserve"> </w:t>
      </w:r>
      <w:r w:rsidR="00022337">
        <w:t>was increased b</w:t>
      </w:r>
      <w:r w:rsidR="00E33B05">
        <w:t xml:space="preserve">y the addition of </w:t>
      </w:r>
      <w:r w:rsidR="00EA2594">
        <w:t>Vidi Funda</w:t>
      </w:r>
      <w:r w:rsidR="00022337">
        <w:t>.</w:t>
      </w:r>
      <w:r w:rsidR="00E67A28">
        <w:t xml:space="preserve"> </w:t>
      </w:r>
    </w:p>
    <w:p w14:paraId="403097DA" w14:textId="6FA90CE5" w:rsidR="00B65709" w:rsidRPr="00B65709" w:rsidRDefault="00B65709">
      <w:pPr>
        <w:rPr>
          <w:b/>
          <w:bCs/>
        </w:rPr>
      </w:pPr>
      <w:r>
        <w:rPr>
          <w:b/>
          <w:bCs/>
        </w:rPr>
        <w:t>Trianum</w:t>
      </w:r>
      <w:r w:rsidR="00205A6E">
        <w:rPr>
          <w:b/>
          <w:bCs/>
        </w:rPr>
        <w:t>-P</w:t>
      </w:r>
      <w:r>
        <w:rPr>
          <w:b/>
          <w:bCs/>
        </w:rPr>
        <w:t xml:space="preserve"> + Fortafol</w:t>
      </w:r>
    </w:p>
    <w:p w14:paraId="16B503BF" w14:textId="04591EBB" w:rsidR="009B10B1" w:rsidRDefault="00B201C9">
      <w:proofErr w:type="spellStart"/>
      <w:r>
        <w:t>Fortafol</w:t>
      </w:r>
      <w:proofErr w:type="spellEnd"/>
      <w:r>
        <w:t xml:space="preserve"> is </w:t>
      </w:r>
      <w:r w:rsidR="00016C7B">
        <w:t xml:space="preserve">a </w:t>
      </w:r>
      <w:proofErr w:type="spellStart"/>
      <w:r w:rsidR="0035695A">
        <w:t>biostimulant</w:t>
      </w:r>
      <w:proofErr w:type="spellEnd"/>
      <w:r w:rsidR="0035695A">
        <w:t xml:space="preserve"> </w:t>
      </w:r>
      <w:r w:rsidR="00C8168F">
        <w:t xml:space="preserve">which is </w:t>
      </w:r>
      <w:r w:rsidR="0035695A">
        <w:t xml:space="preserve">formulated as a </w:t>
      </w:r>
      <w:r w:rsidR="00016C7B">
        <w:t xml:space="preserve">water-soluble emulsion </w:t>
      </w:r>
      <w:r w:rsidR="00C8168F">
        <w:t xml:space="preserve">and </w:t>
      </w:r>
      <w:r w:rsidR="00016C7B">
        <w:t>contai</w:t>
      </w:r>
      <w:r w:rsidR="00C8168F">
        <w:t>ns</w:t>
      </w:r>
      <w:r w:rsidR="00016C7B">
        <w:t xml:space="preserve"> </w:t>
      </w:r>
      <w:proofErr w:type="spellStart"/>
      <w:r w:rsidR="00016C7B">
        <w:t>humic</w:t>
      </w:r>
      <w:proofErr w:type="spellEnd"/>
      <w:r w:rsidR="00016C7B">
        <w:t xml:space="preserve"> and fulvic acids, and plant extracts from </w:t>
      </w:r>
      <w:r w:rsidR="00C46123" w:rsidRPr="00C46123">
        <w:rPr>
          <w:i/>
          <w:iCs/>
        </w:rPr>
        <w:t>Thymus</w:t>
      </w:r>
      <w:r w:rsidR="00C46123">
        <w:t xml:space="preserve"> </w:t>
      </w:r>
      <w:r w:rsidR="00016C7B">
        <w:t xml:space="preserve">and </w:t>
      </w:r>
      <w:r w:rsidR="00C46123" w:rsidRPr="00C46123">
        <w:rPr>
          <w:i/>
          <w:iCs/>
        </w:rPr>
        <w:t>M</w:t>
      </w:r>
      <w:r w:rsidR="00016C7B" w:rsidRPr="00C46123">
        <w:rPr>
          <w:i/>
          <w:iCs/>
        </w:rPr>
        <w:t>entha</w:t>
      </w:r>
      <w:r w:rsidR="00016C7B">
        <w:t xml:space="preserve">. </w:t>
      </w:r>
    </w:p>
    <w:p w14:paraId="61F340E2" w14:textId="510BDE57" w:rsidR="0051316A" w:rsidRDefault="009B10B1">
      <w:r>
        <w:t>Since it is feasible that Fortafol and Trianum</w:t>
      </w:r>
      <w:r w:rsidR="00291E4B">
        <w:t>-P</w:t>
      </w:r>
      <w:r>
        <w:t xml:space="preserve"> could be used as part of the same integrated </w:t>
      </w:r>
      <w:r w:rsidR="00E14543">
        <w:t>crop</w:t>
      </w:r>
      <w:r>
        <w:t xml:space="preserve"> management programme, it was necessary to test the compatibility between the two products. Previously it has been shown that the viability of fungal spores of various plant pathogens are rendered non-viable following exposure to a Fortafol solution. Further proof and clarity regarding the compatibility between Fortafol and strain T22 was required. </w:t>
      </w:r>
    </w:p>
    <w:p w14:paraId="2C4C693F" w14:textId="6981E8CB" w:rsidR="00406ED8" w:rsidRDefault="00406ED8" w:rsidP="00406ED8">
      <w:pPr>
        <w:rPr>
          <w:lang w:val="en-US"/>
        </w:rPr>
      </w:pPr>
      <w:r>
        <w:rPr>
          <w:lang w:val="en-US"/>
        </w:rPr>
        <w:t xml:space="preserve">The effects of </w:t>
      </w:r>
      <w:proofErr w:type="spellStart"/>
      <w:r>
        <w:rPr>
          <w:lang w:val="en-US"/>
        </w:rPr>
        <w:t>Fortafol</w:t>
      </w:r>
      <w:proofErr w:type="spellEnd"/>
      <w:r>
        <w:rPr>
          <w:lang w:val="en-US"/>
        </w:rPr>
        <w:t xml:space="preserve">, Switch and </w:t>
      </w:r>
      <w:proofErr w:type="spellStart"/>
      <w:r>
        <w:rPr>
          <w:lang w:val="en-US"/>
        </w:rPr>
        <w:t>Cercobin</w:t>
      </w:r>
      <w:proofErr w:type="spellEnd"/>
      <w:r>
        <w:rPr>
          <w:lang w:val="en-US"/>
        </w:rPr>
        <w:t xml:space="preserve"> on T22 spore germination w</w:t>
      </w:r>
      <w:r w:rsidR="00E14543">
        <w:rPr>
          <w:lang w:val="en-US"/>
        </w:rPr>
        <w:t xml:space="preserve">ere </w:t>
      </w:r>
      <w:r>
        <w:rPr>
          <w:lang w:val="en-US"/>
        </w:rPr>
        <w:t>tested at five</w:t>
      </w:r>
      <w:r w:rsidR="00E4124A">
        <w:rPr>
          <w:lang w:val="en-US"/>
        </w:rPr>
        <w:t xml:space="preserve"> </w:t>
      </w:r>
      <w:r>
        <w:rPr>
          <w:lang w:val="en-US"/>
        </w:rPr>
        <w:t>concentrations ranging from 0 to 1%</w:t>
      </w:r>
      <w:r w:rsidR="0035695A">
        <w:rPr>
          <w:lang w:val="en-US"/>
        </w:rPr>
        <w:t xml:space="preserve"> </w:t>
      </w:r>
      <w:r>
        <w:rPr>
          <w:lang w:val="en-US"/>
        </w:rPr>
        <w:t>v/v</w:t>
      </w:r>
      <w:r w:rsidR="007F7A3B">
        <w:rPr>
          <w:lang w:val="en-US"/>
        </w:rPr>
        <w:t xml:space="preserve"> in a 100-fold serial dilution. To each dilution 0.05</w:t>
      </w:r>
      <w:r w:rsidR="0035695A">
        <w:rPr>
          <w:lang w:val="en-US"/>
        </w:rPr>
        <w:t xml:space="preserve"> </w:t>
      </w:r>
      <w:r w:rsidR="007F7A3B">
        <w:rPr>
          <w:lang w:val="en-US"/>
        </w:rPr>
        <w:t xml:space="preserve">g </w:t>
      </w:r>
      <w:proofErr w:type="spellStart"/>
      <w:r w:rsidR="007F7A3B">
        <w:rPr>
          <w:lang w:val="en-US"/>
        </w:rPr>
        <w:t>Trianum</w:t>
      </w:r>
      <w:proofErr w:type="spellEnd"/>
      <w:r w:rsidR="007F7A3B">
        <w:rPr>
          <w:lang w:val="en-US"/>
        </w:rPr>
        <w:t>-</w:t>
      </w:r>
      <w:r w:rsidR="00641FC5">
        <w:rPr>
          <w:lang w:val="en-US"/>
        </w:rPr>
        <w:t>P</w:t>
      </w:r>
      <w:r w:rsidR="007F7A3B">
        <w:rPr>
          <w:lang w:val="en-US"/>
        </w:rPr>
        <w:t xml:space="preserve"> was added to 100</w:t>
      </w:r>
      <w:r w:rsidR="0035695A">
        <w:rPr>
          <w:lang w:val="en-US"/>
        </w:rPr>
        <w:t xml:space="preserve"> </w:t>
      </w:r>
      <w:r w:rsidR="007F7A3B">
        <w:rPr>
          <w:lang w:val="en-US"/>
        </w:rPr>
        <w:t>ml of the diluted solution in 150</w:t>
      </w:r>
      <w:r w:rsidR="0035695A">
        <w:rPr>
          <w:lang w:val="en-US"/>
        </w:rPr>
        <w:t xml:space="preserve"> </w:t>
      </w:r>
      <w:r w:rsidR="007F7A3B">
        <w:rPr>
          <w:lang w:val="en-US"/>
        </w:rPr>
        <w:t xml:space="preserve">ml </w:t>
      </w:r>
      <w:r w:rsidR="007F7A3B" w:rsidRPr="007E11E0">
        <w:rPr>
          <w:lang w:val="en-US"/>
        </w:rPr>
        <w:t xml:space="preserve">clear </w:t>
      </w:r>
      <w:r w:rsidR="007F7A3B">
        <w:rPr>
          <w:lang w:val="en-US"/>
        </w:rPr>
        <w:t xml:space="preserve">plastic </w:t>
      </w:r>
      <w:r w:rsidR="00E14543">
        <w:rPr>
          <w:lang w:val="en-US"/>
        </w:rPr>
        <w:t>bottles</w:t>
      </w:r>
      <w:r w:rsidR="007F7A3B" w:rsidRPr="007E11E0">
        <w:rPr>
          <w:lang w:val="en-US"/>
        </w:rPr>
        <w:t xml:space="preserve"> with sealable caps</w:t>
      </w:r>
      <w:r w:rsidR="007F7A3B">
        <w:rPr>
          <w:lang w:val="en-US"/>
        </w:rPr>
        <w:t>. The pots were placed in the dark in a box a</w:t>
      </w:r>
      <w:r w:rsidR="00D46249">
        <w:rPr>
          <w:lang w:val="en-US"/>
        </w:rPr>
        <w:t>t room temperature (16-20</w:t>
      </w:r>
      <w:r w:rsidR="00D46249" w:rsidRPr="00D46249">
        <w:rPr>
          <w:vertAlign w:val="superscript"/>
          <w:lang w:val="en-US"/>
        </w:rPr>
        <w:t>0</w:t>
      </w:r>
      <w:r w:rsidR="00D46249">
        <w:rPr>
          <w:lang w:val="en-US"/>
        </w:rPr>
        <w:t>C).</w:t>
      </w:r>
    </w:p>
    <w:p w14:paraId="5DFEB447" w14:textId="51461AF8" w:rsidR="00A72311" w:rsidRDefault="002E0AF1">
      <w:r>
        <w:t xml:space="preserve">In the 1% and 0.01% solutions of </w:t>
      </w:r>
      <w:proofErr w:type="spellStart"/>
      <w:r>
        <w:t>Fortafol</w:t>
      </w:r>
      <w:proofErr w:type="spellEnd"/>
      <w:r>
        <w:t xml:space="preserve">, Switch and </w:t>
      </w:r>
      <w:proofErr w:type="spellStart"/>
      <w:r>
        <w:t>Cercobin</w:t>
      </w:r>
      <w:proofErr w:type="spellEnd"/>
      <w:r>
        <w:t xml:space="preserve">, </w:t>
      </w:r>
      <w:r w:rsidR="006A56DA">
        <w:t>the</w:t>
      </w:r>
      <w:r>
        <w:t xml:space="preserve"> spores </w:t>
      </w:r>
      <w:r w:rsidR="006A56DA">
        <w:t xml:space="preserve">of T22 </w:t>
      </w:r>
      <w:r>
        <w:t>failed to germinate after 14 days</w:t>
      </w:r>
      <w:r w:rsidR="00424A1C">
        <w:t xml:space="preserve">, but spore germination and mycelium development did occur in the </w:t>
      </w:r>
      <w:r>
        <w:t xml:space="preserve">weak solutions </w:t>
      </w:r>
      <w:r w:rsidR="006A56DA">
        <w:t>(1x10</w:t>
      </w:r>
      <w:r w:rsidR="006A56DA" w:rsidRPr="006A56DA">
        <w:rPr>
          <w:vertAlign w:val="superscript"/>
        </w:rPr>
        <w:t>-4</w:t>
      </w:r>
      <w:r w:rsidR="006A56DA">
        <w:t xml:space="preserve"> and 1x10</w:t>
      </w:r>
      <w:r w:rsidR="006A56DA" w:rsidRPr="006A56DA">
        <w:rPr>
          <w:vertAlign w:val="superscript"/>
        </w:rPr>
        <w:t>-6</w:t>
      </w:r>
      <w:r w:rsidR="006A56DA">
        <w:t xml:space="preserve">) </w:t>
      </w:r>
      <w:r w:rsidR="00424A1C">
        <w:t>a</w:t>
      </w:r>
      <w:r>
        <w:t xml:space="preserve">nd </w:t>
      </w:r>
      <w:r w:rsidR="006A56DA">
        <w:t xml:space="preserve">water </w:t>
      </w:r>
      <w:r>
        <w:t>contro</w:t>
      </w:r>
      <w:r w:rsidR="00424A1C">
        <w:t xml:space="preserve">l. The recommended application rate for Fortafol as a substrate treatment </w:t>
      </w:r>
      <w:r w:rsidR="00A72311">
        <w:t>is 1ml/</w:t>
      </w:r>
      <w:r w:rsidR="00E14543">
        <w:t xml:space="preserve">l </w:t>
      </w:r>
      <w:r w:rsidR="002774D8">
        <w:t>(</w:t>
      </w:r>
      <w:r w:rsidR="009F2E02">
        <w:t>0.1%</w:t>
      </w:r>
      <w:r w:rsidR="002774D8">
        <w:t>v/v</w:t>
      </w:r>
      <w:r w:rsidR="009F2E02">
        <w:t>)</w:t>
      </w:r>
      <w:r w:rsidR="002774D8">
        <w:t xml:space="preserve">. Since no germination occurred at 1% and 0.01%, it is reasonable to assume that germination would not occur at the commercial rate either. This experiment confirms that </w:t>
      </w:r>
      <w:proofErr w:type="spellStart"/>
      <w:r w:rsidR="002774D8">
        <w:t>Fortafol</w:t>
      </w:r>
      <w:proofErr w:type="spellEnd"/>
      <w:r w:rsidR="002774D8">
        <w:t xml:space="preserve">-D must not be applied as a tank mix. The current advice for a </w:t>
      </w:r>
      <w:r w:rsidR="00CC568E">
        <w:t xml:space="preserve">growing media drench or drip line </w:t>
      </w:r>
      <w:r w:rsidR="002774D8">
        <w:t xml:space="preserve">treatment is to apply </w:t>
      </w:r>
      <w:proofErr w:type="spellStart"/>
      <w:r w:rsidR="002774D8">
        <w:t>Trianum</w:t>
      </w:r>
      <w:proofErr w:type="spellEnd"/>
      <w:r w:rsidR="002774D8">
        <w:t xml:space="preserve">-P first followed by </w:t>
      </w:r>
      <w:proofErr w:type="spellStart"/>
      <w:r w:rsidR="002774D8">
        <w:t>Fortafol</w:t>
      </w:r>
      <w:proofErr w:type="spellEnd"/>
      <w:r w:rsidR="002774D8">
        <w:t>-D three days later.</w:t>
      </w:r>
      <w:r w:rsidR="001D75FE">
        <w:t xml:space="preserve"> </w:t>
      </w:r>
    </w:p>
    <w:p w14:paraId="39D882CB" w14:textId="7E04F27A" w:rsidR="008B1900" w:rsidRPr="00DB7342" w:rsidRDefault="00333629">
      <w:pPr>
        <w:rPr>
          <w:b/>
          <w:bCs/>
          <w:i/>
          <w:iCs/>
        </w:rPr>
      </w:pPr>
      <w:proofErr w:type="spellStart"/>
      <w:r w:rsidRPr="00333629">
        <w:rPr>
          <w:b/>
          <w:bCs/>
        </w:rPr>
        <w:t>Trianum</w:t>
      </w:r>
      <w:proofErr w:type="spellEnd"/>
      <w:r w:rsidR="00641FC5">
        <w:rPr>
          <w:b/>
          <w:bCs/>
        </w:rPr>
        <w:t>-P</w:t>
      </w:r>
      <w:r w:rsidRPr="00333629">
        <w:rPr>
          <w:b/>
          <w:bCs/>
        </w:rPr>
        <w:t xml:space="preserve"> &amp; plant growth promotion</w:t>
      </w:r>
      <w:r w:rsidR="002B2D88">
        <w:rPr>
          <w:b/>
          <w:bCs/>
        </w:rPr>
        <w:t xml:space="preserve"> in </w:t>
      </w:r>
      <w:proofErr w:type="spellStart"/>
      <w:r w:rsidR="00734119" w:rsidRPr="00DB7342">
        <w:rPr>
          <w:b/>
          <w:bCs/>
          <w:i/>
          <w:iCs/>
        </w:rPr>
        <w:t>Tagetes</w:t>
      </w:r>
      <w:proofErr w:type="spellEnd"/>
      <w:r w:rsidR="00734119" w:rsidRPr="00DB7342">
        <w:rPr>
          <w:b/>
          <w:bCs/>
          <w:i/>
          <w:iCs/>
        </w:rPr>
        <w:t xml:space="preserve"> </w:t>
      </w:r>
    </w:p>
    <w:p w14:paraId="11CF3C25" w14:textId="440BEF85" w:rsidR="00F0325F" w:rsidRDefault="00960373">
      <w:r>
        <w:t>The</w:t>
      </w:r>
      <w:r w:rsidR="00EC5AC7">
        <w:t xml:space="preserve"> plant growth promoting effects of </w:t>
      </w:r>
      <w:r w:rsidR="00EC5AC7" w:rsidRPr="00212E7E">
        <w:rPr>
          <w:i/>
          <w:iCs/>
        </w:rPr>
        <w:t>Tri</w:t>
      </w:r>
      <w:r w:rsidR="0086739B" w:rsidRPr="00212E7E">
        <w:rPr>
          <w:i/>
          <w:iCs/>
        </w:rPr>
        <w:t>choderma</w:t>
      </w:r>
      <w:r w:rsidR="0086739B">
        <w:t xml:space="preserve"> </w:t>
      </w:r>
      <w:r w:rsidR="00EC5AC7">
        <w:t xml:space="preserve">are well documented </w:t>
      </w:r>
      <w:r w:rsidR="00657C52">
        <w:t>(</w:t>
      </w:r>
      <w:r w:rsidR="003D4742">
        <w:t xml:space="preserve">Baker, 1988; </w:t>
      </w:r>
      <w:r w:rsidR="00657C52">
        <w:t xml:space="preserve">Ousley, </w:t>
      </w:r>
      <w:r w:rsidR="00657C52" w:rsidRPr="00E14543">
        <w:rPr>
          <w:i/>
          <w:iCs/>
        </w:rPr>
        <w:t>et al</w:t>
      </w:r>
      <w:r w:rsidR="00657C52">
        <w:t>., 1994). An experiment was set up to compare two Trichoderma species as growth promotors of marigold (</w:t>
      </w:r>
      <w:proofErr w:type="spellStart"/>
      <w:r w:rsidR="00657C52" w:rsidRPr="00A04D11">
        <w:rPr>
          <w:i/>
          <w:iCs/>
        </w:rPr>
        <w:t>Tagetes</w:t>
      </w:r>
      <w:proofErr w:type="spellEnd"/>
      <w:r w:rsidR="00657C52" w:rsidRPr="00A04D11">
        <w:rPr>
          <w:i/>
          <w:iCs/>
        </w:rPr>
        <w:t xml:space="preserve"> </w:t>
      </w:r>
      <w:proofErr w:type="spellStart"/>
      <w:r w:rsidR="00657C52" w:rsidRPr="00A04D11">
        <w:rPr>
          <w:i/>
          <w:iCs/>
        </w:rPr>
        <w:t>sp</w:t>
      </w:r>
      <w:proofErr w:type="spellEnd"/>
      <w:r w:rsidR="00657C52">
        <w:t xml:space="preserve">).  </w:t>
      </w:r>
    </w:p>
    <w:p w14:paraId="7F9B9716" w14:textId="5F09FA86" w:rsidR="0045425D" w:rsidRDefault="00FC70EE" w:rsidP="0045425D">
      <w:pPr>
        <w:rPr>
          <w:lang w:val="en-US"/>
        </w:rPr>
      </w:pPr>
      <w:r>
        <w:rPr>
          <w:lang w:val="en-US"/>
        </w:rPr>
        <w:t xml:space="preserve">A total of 60 </w:t>
      </w:r>
      <w:r w:rsidR="0045425D">
        <w:rPr>
          <w:lang w:val="en-US"/>
        </w:rPr>
        <w:t xml:space="preserve">marigold seeds were sown in </w:t>
      </w:r>
      <w:proofErr w:type="spellStart"/>
      <w:r w:rsidR="0045425D">
        <w:rPr>
          <w:lang w:val="en-US"/>
        </w:rPr>
        <w:t>Klasman</w:t>
      </w:r>
      <w:r w:rsidR="00657C52">
        <w:rPr>
          <w:lang w:val="en-US"/>
        </w:rPr>
        <w:t>n</w:t>
      </w:r>
      <w:proofErr w:type="spellEnd"/>
      <w:r w:rsidR="0045425D">
        <w:rPr>
          <w:lang w:val="en-US"/>
        </w:rPr>
        <w:t xml:space="preserve"> bedding plant substrate in polystyrene trays in early March. </w:t>
      </w:r>
      <w:r>
        <w:rPr>
          <w:lang w:val="en-US"/>
        </w:rPr>
        <w:t xml:space="preserve">There were two trays per treatment and 10 seeds per tray. </w:t>
      </w:r>
      <w:r w:rsidR="0045425D">
        <w:rPr>
          <w:lang w:val="en-US"/>
        </w:rPr>
        <w:t xml:space="preserve">The trays were watered, </w:t>
      </w:r>
      <w:r w:rsidR="0045425D">
        <w:rPr>
          <w:lang w:val="en-US"/>
        </w:rPr>
        <w:lastRenderedPageBreak/>
        <w:t xml:space="preserve">covered with a plastic film </w:t>
      </w:r>
      <w:r w:rsidR="0072643A">
        <w:rPr>
          <w:lang w:val="en-US"/>
        </w:rPr>
        <w:t xml:space="preserve">until seedling emergence </w:t>
      </w:r>
      <w:r w:rsidR="0045425D">
        <w:rPr>
          <w:lang w:val="en-US"/>
        </w:rPr>
        <w:t xml:space="preserve">and placed in a cold glasshouse with frost protection </w:t>
      </w:r>
      <w:r w:rsidR="0072643A">
        <w:rPr>
          <w:lang w:val="en-US"/>
        </w:rPr>
        <w:t>(</w:t>
      </w:r>
      <w:r w:rsidR="0045425D">
        <w:rPr>
          <w:lang w:val="en-US"/>
        </w:rPr>
        <w:t>minimum temperature of 5</w:t>
      </w:r>
      <w:r w:rsidR="0045425D" w:rsidRPr="0045425D">
        <w:rPr>
          <w:vertAlign w:val="superscript"/>
          <w:lang w:val="en-US"/>
        </w:rPr>
        <w:t>o</w:t>
      </w:r>
      <w:r w:rsidR="0045425D">
        <w:rPr>
          <w:lang w:val="en-US"/>
        </w:rPr>
        <w:t>C</w:t>
      </w:r>
      <w:r w:rsidR="0072643A">
        <w:rPr>
          <w:lang w:val="en-US"/>
        </w:rPr>
        <w:t>)</w:t>
      </w:r>
      <w:r w:rsidR="0045425D">
        <w:rPr>
          <w:lang w:val="en-US"/>
        </w:rPr>
        <w:t xml:space="preserve">. After 7 days all seeds had germinated and </w:t>
      </w:r>
      <w:r w:rsidR="0072643A">
        <w:rPr>
          <w:lang w:val="en-US"/>
        </w:rPr>
        <w:t xml:space="preserve">had reached the </w:t>
      </w:r>
      <w:r w:rsidR="0045425D">
        <w:rPr>
          <w:lang w:val="en-US"/>
        </w:rPr>
        <w:t xml:space="preserve">cotyledon stage. </w:t>
      </w:r>
      <w:r w:rsidR="0072643A">
        <w:rPr>
          <w:lang w:val="en-US"/>
        </w:rPr>
        <w:t>Trianum</w:t>
      </w:r>
      <w:r w:rsidR="00657C52">
        <w:rPr>
          <w:lang w:val="en-US"/>
        </w:rPr>
        <w:t>-</w:t>
      </w:r>
      <w:r w:rsidR="00F4163F">
        <w:rPr>
          <w:lang w:val="en-US"/>
        </w:rPr>
        <w:t xml:space="preserve">P </w:t>
      </w:r>
      <w:r w:rsidR="0072643A">
        <w:rPr>
          <w:lang w:val="en-US"/>
        </w:rPr>
        <w:t xml:space="preserve">and </w:t>
      </w:r>
      <w:r w:rsidR="00A34C86">
        <w:rPr>
          <w:lang w:val="en-US"/>
        </w:rPr>
        <w:t>M149</w:t>
      </w:r>
      <w:r w:rsidR="0072643A">
        <w:rPr>
          <w:lang w:val="en-US"/>
        </w:rPr>
        <w:t xml:space="preserve"> were applied as a compost </w:t>
      </w:r>
      <w:r w:rsidR="0045425D">
        <w:rPr>
          <w:lang w:val="en-US"/>
        </w:rPr>
        <w:t>drench after 4 days</w:t>
      </w:r>
      <w:r w:rsidR="0072643A">
        <w:rPr>
          <w:lang w:val="en-US"/>
        </w:rPr>
        <w:t xml:space="preserve">. </w:t>
      </w:r>
      <w:r w:rsidR="0045425D">
        <w:rPr>
          <w:lang w:val="en-US"/>
        </w:rPr>
        <w:t xml:space="preserve">The </w:t>
      </w:r>
      <w:r w:rsidR="0072643A">
        <w:rPr>
          <w:lang w:val="en-US"/>
        </w:rPr>
        <w:t xml:space="preserve">untreated </w:t>
      </w:r>
      <w:r w:rsidR="0045425D">
        <w:rPr>
          <w:lang w:val="en-US"/>
        </w:rPr>
        <w:t>control seedlings were treated with water</w:t>
      </w:r>
      <w:r w:rsidR="00F4163F">
        <w:rPr>
          <w:lang w:val="en-US"/>
        </w:rPr>
        <w:t>.</w:t>
      </w:r>
      <w:r w:rsidR="0072643A">
        <w:rPr>
          <w:lang w:val="en-US"/>
        </w:rPr>
        <w:t xml:space="preserve"> </w:t>
      </w:r>
      <w:r w:rsidR="0045425D">
        <w:rPr>
          <w:lang w:val="en-US"/>
        </w:rPr>
        <w:t>Trianum</w:t>
      </w:r>
      <w:r w:rsidR="00657C52">
        <w:rPr>
          <w:lang w:val="en-US"/>
        </w:rPr>
        <w:t>-</w:t>
      </w:r>
      <w:r w:rsidR="0045425D">
        <w:rPr>
          <w:lang w:val="en-US"/>
        </w:rPr>
        <w:t xml:space="preserve">P and </w:t>
      </w:r>
      <w:r w:rsidR="00A34C86">
        <w:rPr>
          <w:lang w:val="en-US"/>
        </w:rPr>
        <w:t>M149</w:t>
      </w:r>
      <w:r w:rsidR="0045425D">
        <w:rPr>
          <w:lang w:val="en-US"/>
        </w:rPr>
        <w:t xml:space="preserve"> were applied at 1.5</w:t>
      </w:r>
      <w:r w:rsidR="009C4F6B">
        <w:rPr>
          <w:lang w:val="en-US"/>
        </w:rPr>
        <w:t xml:space="preserve"> </w:t>
      </w:r>
      <w:r w:rsidR="0045425D">
        <w:rPr>
          <w:lang w:val="en-US"/>
        </w:rPr>
        <w:t>g/l of water</w:t>
      </w:r>
      <w:r w:rsidR="0072643A">
        <w:rPr>
          <w:lang w:val="en-US"/>
        </w:rPr>
        <w:t xml:space="preserve"> and each cell </w:t>
      </w:r>
      <w:r w:rsidR="0045425D">
        <w:rPr>
          <w:lang w:val="en-US"/>
        </w:rPr>
        <w:t>received 5</w:t>
      </w:r>
      <w:r w:rsidR="00A04D11">
        <w:rPr>
          <w:lang w:val="en-US"/>
        </w:rPr>
        <w:t xml:space="preserve"> </w:t>
      </w:r>
      <w:r w:rsidR="0045425D">
        <w:rPr>
          <w:lang w:val="en-US"/>
        </w:rPr>
        <w:t xml:space="preserve">ml of </w:t>
      </w:r>
      <w:r w:rsidR="0072643A">
        <w:rPr>
          <w:lang w:val="en-US"/>
        </w:rPr>
        <w:t xml:space="preserve">solution. </w:t>
      </w:r>
      <w:r w:rsidR="0045425D">
        <w:rPr>
          <w:lang w:val="en-US"/>
        </w:rPr>
        <w:t>A second treatment was applied 10 days later at a rate of 0.5</w:t>
      </w:r>
      <w:r w:rsidR="00A04D11">
        <w:rPr>
          <w:lang w:val="en-US"/>
        </w:rPr>
        <w:t xml:space="preserve"> </w:t>
      </w:r>
      <w:r w:rsidR="0045425D">
        <w:rPr>
          <w:lang w:val="en-US"/>
        </w:rPr>
        <w:t>g</w:t>
      </w:r>
      <w:r w:rsidR="00F4163F">
        <w:rPr>
          <w:lang w:val="en-US"/>
        </w:rPr>
        <w:t xml:space="preserve"> per </w:t>
      </w:r>
      <w:r w:rsidR="0045425D">
        <w:rPr>
          <w:lang w:val="en-US"/>
        </w:rPr>
        <w:t>cell</w:t>
      </w:r>
      <w:r w:rsidR="0072643A">
        <w:rPr>
          <w:lang w:val="en-US"/>
        </w:rPr>
        <w:t xml:space="preserve"> followed by irrigation to move the dry product into the compost profile. </w:t>
      </w:r>
      <w:r w:rsidR="0045425D">
        <w:rPr>
          <w:lang w:val="en-US"/>
        </w:rPr>
        <w:t xml:space="preserve"> </w:t>
      </w:r>
    </w:p>
    <w:p w14:paraId="707E6084" w14:textId="3B394883" w:rsidR="00F4163F" w:rsidRDefault="008D0175" w:rsidP="0045425D">
      <w:pPr>
        <w:rPr>
          <w:lang w:val="en-US"/>
        </w:rPr>
      </w:pPr>
      <w:r>
        <w:rPr>
          <w:lang w:val="en-US"/>
        </w:rPr>
        <w:t xml:space="preserve">Assessments were made 15 days and 24 days after the first treatment. </w:t>
      </w:r>
      <w:r w:rsidR="00F4163F">
        <w:rPr>
          <w:lang w:val="en-US"/>
        </w:rPr>
        <w:t xml:space="preserve">Growth differences between treatments became evident from the cotyledon stage. </w:t>
      </w:r>
      <w:r>
        <w:rPr>
          <w:lang w:val="en-US"/>
        </w:rPr>
        <w:t>After 15 days, the mean stem height</w:t>
      </w:r>
      <w:r w:rsidR="00A30EB6">
        <w:rPr>
          <w:lang w:val="en-US"/>
        </w:rPr>
        <w:t>, mean cotyledon</w:t>
      </w:r>
      <w:r>
        <w:rPr>
          <w:lang w:val="en-US"/>
        </w:rPr>
        <w:t xml:space="preserve"> </w:t>
      </w:r>
      <w:r w:rsidR="00A30EB6">
        <w:rPr>
          <w:lang w:val="en-US"/>
        </w:rPr>
        <w:t xml:space="preserve">length and mean length of the first true leaves </w:t>
      </w:r>
      <w:r w:rsidR="009732C2">
        <w:rPr>
          <w:lang w:val="en-US"/>
        </w:rPr>
        <w:t xml:space="preserve">were determined. The largest growth differences occurred in the Trianum-treated </w:t>
      </w:r>
      <w:r w:rsidR="00A30EB6">
        <w:rPr>
          <w:lang w:val="en-US"/>
        </w:rPr>
        <w:t>seedlings, followed by the water-treated control</w:t>
      </w:r>
      <w:r w:rsidR="009732C2">
        <w:rPr>
          <w:lang w:val="en-US"/>
        </w:rPr>
        <w:t xml:space="preserve">. The smallest seedlings were produced in the M149 </w:t>
      </w:r>
      <w:r w:rsidR="00A30EB6">
        <w:rPr>
          <w:lang w:val="en-US"/>
        </w:rPr>
        <w:t xml:space="preserve">treatment. After 24 days the stem height </w:t>
      </w:r>
      <w:r w:rsidR="009732C2">
        <w:rPr>
          <w:lang w:val="en-US"/>
        </w:rPr>
        <w:t xml:space="preserve">difference </w:t>
      </w:r>
      <w:r w:rsidR="00A30EB6">
        <w:rPr>
          <w:lang w:val="en-US"/>
        </w:rPr>
        <w:t>between water and Trianum</w:t>
      </w:r>
      <w:r w:rsidR="00115306">
        <w:rPr>
          <w:lang w:val="en-US"/>
        </w:rPr>
        <w:t>-</w:t>
      </w:r>
      <w:r w:rsidR="00A30EB6">
        <w:rPr>
          <w:lang w:val="en-US"/>
        </w:rPr>
        <w:t xml:space="preserve">treated seedlings </w:t>
      </w:r>
      <w:r w:rsidR="009732C2">
        <w:rPr>
          <w:lang w:val="en-US"/>
        </w:rPr>
        <w:t xml:space="preserve">had narrowed </w:t>
      </w:r>
      <w:r w:rsidR="00A30EB6">
        <w:rPr>
          <w:lang w:val="en-US"/>
        </w:rPr>
        <w:t>and was no longer significantly different. The most significant difference occurred in the first true leaves</w:t>
      </w:r>
      <w:r w:rsidR="00F87905">
        <w:rPr>
          <w:lang w:val="en-US"/>
        </w:rPr>
        <w:t>, measuring mean lengths of 47.1</w:t>
      </w:r>
      <w:r w:rsidR="002F707C">
        <w:rPr>
          <w:lang w:val="en-US"/>
        </w:rPr>
        <w:t xml:space="preserve"> </w:t>
      </w:r>
      <w:r w:rsidR="00F87905">
        <w:rPr>
          <w:lang w:val="en-US"/>
        </w:rPr>
        <w:t>mm</w:t>
      </w:r>
      <w:r w:rsidR="004045A5">
        <w:rPr>
          <w:lang w:val="en-US"/>
        </w:rPr>
        <w:t xml:space="preserve"> (18.5% increase)</w:t>
      </w:r>
      <w:r w:rsidR="00F87905">
        <w:rPr>
          <w:lang w:val="en-US"/>
        </w:rPr>
        <w:t>, 40.4</w:t>
      </w:r>
      <w:r w:rsidR="002F707C">
        <w:rPr>
          <w:lang w:val="en-US"/>
        </w:rPr>
        <w:t xml:space="preserve"> </w:t>
      </w:r>
      <w:r w:rsidR="00F87905">
        <w:rPr>
          <w:lang w:val="en-US"/>
        </w:rPr>
        <w:t>mm and 36.2</w:t>
      </w:r>
      <w:r w:rsidR="002F707C">
        <w:rPr>
          <w:lang w:val="en-US"/>
        </w:rPr>
        <w:t xml:space="preserve"> </w:t>
      </w:r>
      <w:r w:rsidR="00F87905">
        <w:rPr>
          <w:lang w:val="en-US"/>
        </w:rPr>
        <w:t xml:space="preserve">mm </w:t>
      </w:r>
      <w:r w:rsidR="004045A5">
        <w:rPr>
          <w:lang w:val="en-US"/>
        </w:rPr>
        <w:t xml:space="preserve">(10.4% decrease) </w:t>
      </w:r>
      <w:r w:rsidR="00F87905">
        <w:rPr>
          <w:lang w:val="en-US"/>
        </w:rPr>
        <w:t xml:space="preserve">for </w:t>
      </w:r>
      <w:proofErr w:type="spellStart"/>
      <w:r w:rsidR="00F87905">
        <w:rPr>
          <w:lang w:val="en-US"/>
        </w:rPr>
        <w:t>Trianum</w:t>
      </w:r>
      <w:proofErr w:type="spellEnd"/>
      <w:r w:rsidR="00115306">
        <w:rPr>
          <w:lang w:val="en-US"/>
        </w:rPr>
        <w:t>-P</w:t>
      </w:r>
      <w:r w:rsidR="00F87905">
        <w:rPr>
          <w:lang w:val="en-US"/>
        </w:rPr>
        <w:t xml:space="preserve">, </w:t>
      </w:r>
      <w:r w:rsidR="00E14543">
        <w:rPr>
          <w:lang w:val="en-US"/>
        </w:rPr>
        <w:t>u</w:t>
      </w:r>
      <w:r w:rsidR="00F87905">
        <w:rPr>
          <w:lang w:val="en-US"/>
        </w:rPr>
        <w:t xml:space="preserve">ntreated and </w:t>
      </w:r>
      <w:r w:rsidR="00D51678">
        <w:rPr>
          <w:lang w:val="en-US"/>
        </w:rPr>
        <w:t>M149</w:t>
      </w:r>
      <w:r w:rsidR="00F87905">
        <w:rPr>
          <w:lang w:val="en-US"/>
        </w:rPr>
        <w:t xml:space="preserve"> respectively. </w:t>
      </w:r>
    </w:p>
    <w:p w14:paraId="7BDB53C2" w14:textId="06884811" w:rsidR="00C743C3" w:rsidRPr="002B2D88" w:rsidRDefault="004F4955">
      <w:pPr>
        <w:rPr>
          <w:b/>
          <w:lang w:val="en-US"/>
        </w:rPr>
      </w:pPr>
      <w:r w:rsidRPr="009C0A38">
        <w:rPr>
          <w:b/>
          <w:i/>
          <w:iCs/>
          <w:lang w:val="en-US"/>
        </w:rPr>
        <w:t xml:space="preserve">Lavandula </w:t>
      </w:r>
      <w:proofErr w:type="spellStart"/>
      <w:r w:rsidR="006F2292" w:rsidRPr="009C0A38">
        <w:rPr>
          <w:b/>
          <w:i/>
          <w:iCs/>
          <w:lang w:val="en-US"/>
        </w:rPr>
        <w:t>hidcote</w:t>
      </w:r>
      <w:proofErr w:type="spellEnd"/>
      <w:r w:rsidR="006F2292">
        <w:rPr>
          <w:b/>
          <w:lang w:val="en-US"/>
        </w:rPr>
        <w:t xml:space="preserve"> </w:t>
      </w:r>
      <w:r w:rsidR="002B2D88" w:rsidRPr="002B2D88">
        <w:rPr>
          <w:b/>
          <w:lang w:val="en-US"/>
        </w:rPr>
        <w:t>propagation</w:t>
      </w:r>
      <w:r>
        <w:rPr>
          <w:b/>
          <w:lang w:val="en-US"/>
        </w:rPr>
        <w:t xml:space="preserve"> trial</w:t>
      </w:r>
    </w:p>
    <w:p w14:paraId="011DB607" w14:textId="2546522C" w:rsidR="001A660F" w:rsidRDefault="00E14543">
      <w:pPr>
        <w:rPr>
          <w:bCs/>
          <w:lang w:val="en-US"/>
        </w:rPr>
      </w:pPr>
      <w:r>
        <w:rPr>
          <w:bCs/>
          <w:lang w:val="en-US"/>
        </w:rPr>
        <w:t>Very few studies have been carried out t</w:t>
      </w:r>
      <w:r w:rsidR="00EE7B62">
        <w:rPr>
          <w:bCs/>
          <w:lang w:val="en-US"/>
        </w:rPr>
        <w:t>o evaluate the combination of Trianum</w:t>
      </w:r>
      <w:r w:rsidR="00115306">
        <w:rPr>
          <w:bCs/>
          <w:lang w:val="en-US"/>
        </w:rPr>
        <w:t>-P</w:t>
      </w:r>
      <w:r w:rsidR="00EE7B62">
        <w:rPr>
          <w:bCs/>
          <w:lang w:val="en-US"/>
        </w:rPr>
        <w:t xml:space="preserve"> with the rooting stimulant Vidi Parva, in </w:t>
      </w:r>
      <w:r w:rsidR="00D81311">
        <w:rPr>
          <w:bCs/>
          <w:lang w:val="en-US"/>
        </w:rPr>
        <w:t xml:space="preserve">the propagation of </w:t>
      </w:r>
      <w:r w:rsidR="00B0505A">
        <w:rPr>
          <w:bCs/>
          <w:lang w:val="en-US"/>
        </w:rPr>
        <w:t>hardy ornamental</w:t>
      </w:r>
      <w:r w:rsidR="00D81311">
        <w:rPr>
          <w:bCs/>
          <w:lang w:val="en-US"/>
        </w:rPr>
        <w:t xml:space="preserve"> </w:t>
      </w:r>
      <w:r w:rsidR="000A7239">
        <w:rPr>
          <w:bCs/>
          <w:lang w:val="en-US"/>
        </w:rPr>
        <w:t xml:space="preserve">nursery stock. </w:t>
      </w:r>
      <w:r w:rsidR="00B0505A">
        <w:rPr>
          <w:bCs/>
          <w:lang w:val="en-US"/>
        </w:rPr>
        <w:t xml:space="preserve"> </w:t>
      </w:r>
      <w:r w:rsidR="00EE7B62">
        <w:rPr>
          <w:bCs/>
          <w:lang w:val="en-US"/>
        </w:rPr>
        <w:t xml:space="preserve"> </w:t>
      </w:r>
    </w:p>
    <w:p w14:paraId="28D541EB" w14:textId="27C2A83D" w:rsidR="00CE0FBC" w:rsidRDefault="00BB57B5">
      <w:pPr>
        <w:rPr>
          <w:bCs/>
          <w:color w:val="FF0000"/>
          <w:lang w:val="en-US"/>
        </w:rPr>
      </w:pPr>
      <w:r>
        <w:rPr>
          <w:bCs/>
          <w:lang w:val="en-US"/>
        </w:rPr>
        <w:t>A</w:t>
      </w:r>
      <w:r w:rsidR="00B0505A">
        <w:rPr>
          <w:bCs/>
          <w:lang w:val="en-US"/>
        </w:rPr>
        <w:t xml:space="preserve"> Lavandula </w:t>
      </w:r>
      <w:r>
        <w:rPr>
          <w:bCs/>
          <w:lang w:val="en-US"/>
        </w:rPr>
        <w:t xml:space="preserve">propagation </w:t>
      </w:r>
      <w:r w:rsidR="00B0505A">
        <w:rPr>
          <w:bCs/>
          <w:lang w:val="en-US"/>
        </w:rPr>
        <w:t xml:space="preserve">trial </w:t>
      </w:r>
      <w:r w:rsidR="00CE0FBC">
        <w:rPr>
          <w:bCs/>
          <w:lang w:val="en-US"/>
        </w:rPr>
        <w:t>compare</w:t>
      </w:r>
      <w:r w:rsidR="002C2D37">
        <w:rPr>
          <w:bCs/>
          <w:lang w:val="en-US"/>
        </w:rPr>
        <w:t>d</w:t>
      </w:r>
      <w:r w:rsidR="00CE0FBC">
        <w:rPr>
          <w:bCs/>
          <w:lang w:val="en-US"/>
        </w:rPr>
        <w:t xml:space="preserve"> the treatment combinations of Trianum</w:t>
      </w:r>
      <w:r w:rsidR="00115306">
        <w:rPr>
          <w:bCs/>
          <w:lang w:val="en-US"/>
        </w:rPr>
        <w:t>-P</w:t>
      </w:r>
      <w:r w:rsidR="00CE0FBC">
        <w:rPr>
          <w:bCs/>
          <w:lang w:val="en-US"/>
        </w:rPr>
        <w:t xml:space="preserve"> + Vidi Parva</w:t>
      </w:r>
      <w:r w:rsidR="00521856">
        <w:rPr>
          <w:bCs/>
          <w:lang w:val="en-US"/>
        </w:rPr>
        <w:t xml:space="preserve"> (</w:t>
      </w:r>
      <w:r>
        <w:rPr>
          <w:bCs/>
          <w:lang w:val="en-US"/>
        </w:rPr>
        <w:t>TP</w:t>
      </w:r>
      <w:r w:rsidR="00521856">
        <w:rPr>
          <w:bCs/>
          <w:lang w:val="en-US"/>
        </w:rPr>
        <w:t>)</w:t>
      </w:r>
      <w:r w:rsidR="00CE0FBC">
        <w:rPr>
          <w:bCs/>
          <w:lang w:val="en-US"/>
        </w:rPr>
        <w:t xml:space="preserve"> and </w:t>
      </w:r>
      <w:r>
        <w:rPr>
          <w:bCs/>
          <w:lang w:val="en-US"/>
        </w:rPr>
        <w:t xml:space="preserve">M149 </w:t>
      </w:r>
      <w:r w:rsidR="00CE0FBC">
        <w:rPr>
          <w:bCs/>
          <w:lang w:val="en-US"/>
        </w:rPr>
        <w:t>+ Vidi Parva</w:t>
      </w:r>
      <w:r w:rsidR="002C2D37">
        <w:rPr>
          <w:bCs/>
          <w:lang w:val="en-US"/>
        </w:rPr>
        <w:t xml:space="preserve"> </w:t>
      </w:r>
      <w:r w:rsidR="00521856">
        <w:rPr>
          <w:bCs/>
          <w:lang w:val="en-US"/>
        </w:rPr>
        <w:t>(</w:t>
      </w:r>
      <w:r>
        <w:rPr>
          <w:bCs/>
          <w:lang w:val="en-US"/>
        </w:rPr>
        <w:t>MP</w:t>
      </w:r>
      <w:r w:rsidR="00521856">
        <w:rPr>
          <w:bCs/>
          <w:lang w:val="en-US"/>
        </w:rPr>
        <w:t xml:space="preserve">) </w:t>
      </w:r>
      <w:r w:rsidR="002C2D37">
        <w:rPr>
          <w:bCs/>
          <w:lang w:val="en-US"/>
        </w:rPr>
        <w:t xml:space="preserve">against </w:t>
      </w:r>
      <w:r w:rsidR="00592BA5">
        <w:rPr>
          <w:bCs/>
          <w:lang w:val="en-US"/>
        </w:rPr>
        <w:t xml:space="preserve">an </w:t>
      </w:r>
      <w:r w:rsidR="002C2D37">
        <w:rPr>
          <w:bCs/>
          <w:lang w:val="en-US"/>
        </w:rPr>
        <w:t>untreated control</w:t>
      </w:r>
      <w:r w:rsidR="00521856">
        <w:rPr>
          <w:bCs/>
          <w:lang w:val="en-US"/>
        </w:rPr>
        <w:t xml:space="preserve"> (U)</w:t>
      </w:r>
      <w:r w:rsidR="002C2D37">
        <w:rPr>
          <w:bCs/>
          <w:lang w:val="en-US"/>
        </w:rPr>
        <w:t>.</w:t>
      </w:r>
      <w:r w:rsidR="00B0505A">
        <w:rPr>
          <w:bCs/>
          <w:lang w:val="en-US"/>
        </w:rPr>
        <w:t xml:space="preserve"> </w:t>
      </w:r>
      <w:r w:rsidR="00CE0FBC">
        <w:rPr>
          <w:bCs/>
          <w:lang w:val="en-US"/>
        </w:rPr>
        <w:t xml:space="preserve">Vidi Parva was included due to its positive effect on </w:t>
      </w:r>
      <w:r w:rsidR="000512C1">
        <w:rPr>
          <w:bCs/>
          <w:lang w:val="en-US"/>
        </w:rPr>
        <w:t xml:space="preserve">T22 </w:t>
      </w:r>
      <w:r w:rsidR="00CE0FBC">
        <w:rPr>
          <w:bCs/>
          <w:lang w:val="en-US"/>
        </w:rPr>
        <w:t xml:space="preserve">spore germination </w:t>
      </w:r>
      <w:r w:rsidR="00CE15BE">
        <w:rPr>
          <w:bCs/>
          <w:lang w:val="en-US"/>
        </w:rPr>
        <w:t xml:space="preserve">and growth </w:t>
      </w:r>
      <w:r w:rsidR="00CE0FBC">
        <w:rPr>
          <w:bCs/>
          <w:lang w:val="en-US"/>
        </w:rPr>
        <w:t xml:space="preserve">as reported earlier in this paper. </w:t>
      </w:r>
      <w:r w:rsidR="004E53E1">
        <w:rPr>
          <w:bCs/>
          <w:lang w:val="en-US"/>
        </w:rPr>
        <w:t xml:space="preserve">Due to the limited number of </w:t>
      </w:r>
      <w:r w:rsidR="004E53E1" w:rsidRPr="009C0A38">
        <w:rPr>
          <w:bCs/>
          <w:i/>
          <w:iCs/>
          <w:lang w:val="en-US"/>
        </w:rPr>
        <w:t>Lavandula</w:t>
      </w:r>
      <w:r w:rsidR="004E53E1">
        <w:rPr>
          <w:bCs/>
          <w:lang w:val="en-US"/>
        </w:rPr>
        <w:t xml:space="preserve"> cutting</w:t>
      </w:r>
      <w:r w:rsidR="00CE15BE">
        <w:rPr>
          <w:bCs/>
          <w:lang w:val="en-US"/>
        </w:rPr>
        <w:t xml:space="preserve"> trays</w:t>
      </w:r>
      <w:r w:rsidR="004E53E1">
        <w:rPr>
          <w:bCs/>
          <w:lang w:val="en-US"/>
        </w:rPr>
        <w:t xml:space="preserve"> available for this trial, it was not possible to include solo treatments of Trianum</w:t>
      </w:r>
      <w:r w:rsidR="00115306">
        <w:rPr>
          <w:bCs/>
          <w:lang w:val="en-US"/>
        </w:rPr>
        <w:t>-P</w:t>
      </w:r>
      <w:r w:rsidR="004E53E1">
        <w:rPr>
          <w:bCs/>
          <w:lang w:val="en-US"/>
        </w:rPr>
        <w:t xml:space="preserve">, </w:t>
      </w:r>
      <w:r w:rsidR="00CE15BE">
        <w:rPr>
          <w:bCs/>
          <w:lang w:val="en-US"/>
        </w:rPr>
        <w:t>M149</w:t>
      </w:r>
      <w:r w:rsidR="004E53E1">
        <w:rPr>
          <w:bCs/>
          <w:lang w:val="en-US"/>
        </w:rPr>
        <w:t xml:space="preserve"> or </w:t>
      </w:r>
      <w:r w:rsidR="00723831">
        <w:rPr>
          <w:bCs/>
          <w:lang w:val="en-US"/>
        </w:rPr>
        <w:t xml:space="preserve">Vidi </w:t>
      </w:r>
      <w:r w:rsidR="004E53E1">
        <w:rPr>
          <w:bCs/>
          <w:lang w:val="en-US"/>
        </w:rPr>
        <w:t>Parva.</w:t>
      </w:r>
      <w:r w:rsidR="00C7313D">
        <w:rPr>
          <w:bCs/>
          <w:lang w:val="en-US"/>
        </w:rPr>
        <w:t xml:space="preserve"> </w:t>
      </w:r>
    </w:p>
    <w:p w14:paraId="148DA6BC" w14:textId="15CB390E" w:rsidR="007E549D" w:rsidRDefault="00C7313D">
      <w:pPr>
        <w:rPr>
          <w:bCs/>
          <w:lang w:val="en-US"/>
        </w:rPr>
      </w:pPr>
      <w:r>
        <w:rPr>
          <w:bCs/>
          <w:lang w:val="en-US"/>
        </w:rPr>
        <w:t xml:space="preserve">The nursery had previously experienced a high disease incidence in </w:t>
      </w:r>
      <w:r w:rsidRPr="00AF6BB9">
        <w:rPr>
          <w:bCs/>
          <w:i/>
          <w:iCs/>
          <w:lang w:val="en-US"/>
        </w:rPr>
        <w:t>Lavandula</w:t>
      </w:r>
      <w:r>
        <w:rPr>
          <w:bCs/>
          <w:lang w:val="en-US"/>
        </w:rPr>
        <w:t xml:space="preserve"> leading to significant losses, and there were also </w:t>
      </w:r>
      <w:r w:rsidR="00AF5E25">
        <w:rPr>
          <w:bCs/>
          <w:lang w:val="en-US"/>
        </w:rPr>
        <w:t>three-week-old</w:t>
      </w:r>
      <w:r>
        <w:rPr>
          <w:bCs/>
          <w:lang w:val="en-US"/>
        </w:rPr>
        <w:t xml:space="preserve"> </w:t>
      </w:r>
      <w:r w:rsidR="00AF5E25">
        <w:rPr>
          <w:bCs/>
          <w:lang w:val="en-US"/>
        </w:rPr>
        <w:t xml:space="preserve">diseased </w:t>
      </w:r>
      <w:r w:rsidRPr="009C0A38">
        <w:rPr>
          <w:bCs/>
          <w:i/>
          <w:iCs/>
          <w:lang w:val="en-US"/>
        </w:rPr>
        <w:t>Lavandula</w:t>
      </w:r>
      <w:r>
        <w:rPr>
          <w:bCs/>
          <w:lang w:val="en-US"/>
        </w:rPr>
        <w:t xml:space="preserve"> cuttings in an adjacent area</w:t>
      </w:r>
      <w:r w:rsidR="00AF5E25">
        <w:rPr>
          <w:bCs/>
          <w:lang w:val="en-US"/>
        </w:rPr>
        <w:t xml:space="preserve"> </w:t>
      </w:r>
      <w:r w:rsidR="00316764">
        <w:rPr>
          <w:bCs/>
          <w:lang w:val="en-US"/>
        </w:rPr>
        <w:t xml:space="preserve">when the trial was </w:t>
      </w:r>
      <w:r w:rsidR="00185276">
        <w:rPr>
          <w:bCs/>
          <w:lang w:val="en-US"/>
        </w:rPr>
        <w:t xml:space="preserve">set up. </w:t>
      </w:r>
      <w:r w:rsidR="00937FAA">
        <w:rPr>
          <w:bCs/>
          <w:lang w:val="en-US"/>
        </w:rPr>
        <w:t>There was also a</w:t>
      </w:r>
      <w:r w:rsidR="00185276">
        <w:rPr>
          <w:bCs/>
          <w:lang w:val="en-US"/>
        </w:rPr>
        <w:t xml:space="preserve">n unprotected period of 7 days between the sticking date and treatment date. </w:t>
      </w:r>
      <w:r w:rsidR="00937FAA">
        <w:rPr>
          <w:bCs/>
          <w:lang w:val="en-US"/>
        </w:rPr>
        <w:t xml:space="preserve"> </w:t>
      </w:r>
    </w:p>
    <w:p w14:paraId="11CE1DDE" w14:textId="7DA30543" w:rsidR="001659E5" w:rsidRDefault="00457760">
      <w:pPr>
        <w:rPr>
          <w:bCs/>
          <w:lang w:val="en-US"/>
        </w:rPr>
      </w:pPr>
      <w:r>
        <w:rPr>
          <w:bCs/>
          <w:lang w:val="en-US"/>
        </w:rPr>
        <w:t xml:space="preserve">There were </w:t>
      </w:r>
      <w:r w:rsidR="00CA5D87">
        <w:rPr>
          <w:bCs/>
          <w:lang w:val="en-US"/>
        </w:rPr>
        <w:t xml:space="preserve">12 trays of cuttings with </w:t>
      </w:r>
      <w:r w:rsidR="00AE41B0">
        <w:rPr>
          <w:bCs/>
          <w:lang w:val="en-US"/>
        </w:rPr>
        <w:t>four</w:t>
      </w:r>
      <w:r w:rsidR="00CA5D87">
        <w:rPr>
          <w:bCs/>
          <w:lang w:val="en-US"/>
        </w:rPr>
        <w:t xml:space="preserve"> trays per treatment. There were 60 cells per tray and each tray measured 45cm x 27</w:t>
      </w:r>
      <w:r w:rsidR="00AE41B0">
        <w:rPr>
          <w:bCs/>
          <w:lang w:val="en-US"/>
        </w:rPr>
        <w:t xml:space="preserve"> </w:t>
      </w:r>
      <w:r w:rsidR="00CA5D87">
        <w:rPr>
          <w:bCs/>
          <w:lang w:val="en-US"/>
        </w:rPr>
        <w:t>cm. The cuttings were prepared on 26</w:t>
      </w:r>
      <w:r w:rsidR="00CA5D87" w:rsidRPr="00CA5D87">
        <w:rPr>
          <w:bCs/>
          <w:vertAlign w:val="superscript"/>
          <w:lang w:val="en-US"/>
        </w:rPr>
        <w:t>th</w:t>
      </w:r>
      <w:r w:rsidR="00CA5D87">
        <w:rPr>
          <w:bCs/>
          <w:lang w:val="en-US"/>
        </w:rPr>
        <w:t xml:space="preserve"> April and the treatments were applied on 3</w:t>
      </w:r>
      <w:r w:rsidR="00CA5D87" w:rsidRPr="00CA5D87">
        <w:rPr>
          <w:bCs/>
          <w:vertAlign w:val="superscript"/>
          <w:lang w:val="en-US"/>
        </w:rPr>
        <w:t>rd</w:t>
      </w:r>
      <w:r w:rsidR="00CA5D87">
        <w:rPr>
          <w:bCs/>
          <w:lang w:val="en-US"/>
        </w:rPr>
        <w:t xml:space="preserve"> May. </w:t>
      </w:r>
      <w:r w:rsidR="00CB5F00">
        <w:rPr>
          <w:bCs/>
          <w:lang w:val="en-US"/>
        </w:rPr>
        <w:t>Trianum</w:t>
      </w:r>
      <w:r w:rsidR="00115306">
        <w:rPr>
          <w:bCs/>
          <w:lang w:val="en-US"/>
        </w:rPr>
        <w:t>-P</w:t>
      </w:r>
      <w:r w:rsidR="00CB5F00">
        <w:rPr>
          <w:bCs/>
          <w:lang w:val="en-US"/>
        </w:rPr>
        <w:t xml:space="preserve"> and </w:t>
      </w:r>
      <w:r w:rsidR="00CE15BE">
        <w:rPr>
          <w:bCs/>
          <w:lang w:val="en-US"/>
        </w:rPr>
        <w:t>M149</w:t>
      </w:r>
      <w:r w:rsidR="00CB5F00">
        <w:rPr>
          <w:bCs/>
          <w:lang w:val="en-US"/>
        </w:rPr>
        <w:t xml:space="preserve"> were applied at the rate of </w:t>
      </w:r>
      <w:r w:rsidR="00F32BD5">
        <w:rPr>
          <w:bCs/>
          <w:lang w:val="en-US"/>
        </w:rPr>
        <w:t>2.5</w:t>
      </w:r>
      <w:r w:rsidR="00AE41B0">
        <w:rPr>
          <w:bCs/>
          <w:lang w:val="en-US"/>
        </w:rPr>
        <w:t xml:space="preserve"> </w:t>
      </w:r>
      <w:r w:rsidR="00F32BD5">
        <w:rPr>
          <w:bCs/>
          <w:lang w:val="en-US"/>
        </w:rPr>
        <w:t>g/m</w:t>
      </w:r>
      <w:r w:rsidR="00F32BD5" w:rsidRPr="00F32BD5">
        <w:rPr>
          <w:bCs/>
          <w:vertAlign w:val="superscript"/>
          <w:lang w:val="en-US"/>
        </w:rPr>
        <w:t>2</w:t>
      </w:r>
      <w:r w:rsidR="00F32BD5">
        <w:rPr>
          <w:bCs/>
          <w:lang w:val="en-US"/>
        </w:rPr>
        <w:t xml:space="preserve"> and </w:t>
      </w:r>
      <w:proofErr w:type="spellStart"/>
      <w:r w:rsidR="00F32BD5">
        <w:rPr>
          <w:bCs/>
          <w:lang w:val="en-US"/>
        </w:rPr>
        <w:t>Vidi</w:t>
      </w:r>
      <w:proofErr w:type="spellEnd"/>
      <w:r w:rsidR="00F32BD5">
        <w:rPr>
          <w:bCs/>
          <w:lang w:val="en-US"/>
        </w:rPr>
        <w:t xml:space="preserve"> Parva at 5</w:t>
      </w:r>
      <w:r w:rsidR="00AE41B0">
        <w:rPr>
          <w:bCs/>
          <w:lang w:val="en-US"/>
        </w:rPr>
        <w:t xml:space="preserve"> </w:t>
      </w:r>
      <w:r w:rsidR="00F32BD5">
        <w:rPr>
          <w:bCs/>
          <w:lang w:val="en-US"/>
        </w:rPr>
        <w:t>ml/m</w:t>
      </w:r>
      <w:r w:rsidR="00F32BD5" w:rsidRPr="00F32BD5">
        <w:rPr>
          <w:bCs/>
          <w:vertAlign w:val="superscript"/>
          <w:lang w:val="en-US"/>
        </w:rPr>
        <w:t>2</w:t>
      </w:r>
      <w:r w:rsidR="00F32BD5">
        <w:rPr>
          <w:bCs/>
          <w:lang w:val="en-US"/>
        </w:rPr>
        <w:t xml:space="preserve"> in a water volume of 2 l</w:t>
      </w:r>
      <w:r w:rsidR="00E14543">
        <w:rPr>
          <w:bCs/>
          <w:lang w:val="en-US"/>
        </w:rPr>
        <w:t>/</w:t>
      </w:r>
      <w:r w:rsidR="00F32BD5">
        <w:rPr>
          <w:bCs/>
          <w:lang w:val="en-US"/>
        </w:rPr>
        <w:t>m</w:t>
      </w:r>
      <w:r w:rsidR="00F32BD5" w:rsidRPr="00F32BD5">
        <w:rPr>
          <w:bCs/>
          <w:vertAlign w:val="superscript"/>
          <w:lang w:val="en-US"/>
        </w:rPr>
        <w:t>2</w:t>
      </w:r>
      <w:r w:rsidR="00F32BD5">
        <w:rPr>
          <w:bCs/>
          <w:lang w:val="en-US"/>
        </w:rPr>
        <w:t>.</w:t>
      </w:r>
      <w:r w:rsidR="00870348">
        <w:rPr>
          <w:bCs/>
          <w:lang w:val="en-US"/>
        </w:rPr>
        <w:t xml:space="preserve"> </w:t>
      </w:r>
      <w:r w:rsidR="00C915D7">
        <w:rPr>
          <w:bCs/>
          <w:lang w:val="en-US"/>
        </w:rPr>
        <w:t xml:space="preserve">The cuttings were maintained on a sand </w:t>
      </w:r>
      <w:r w:rsidR="00185276">
        <w:rPr>
          <w:bCs/>
          <w:lang w:val="en-US"/>
        </w:rPr>
        <w:t xml:space="preserve">bed </w:t>
      </w:r>
      <w:r w:rsidR="00C915D7">
        <w:rPr>
          <w:bCs/>
          <w:lang w:val="en-US"/>
        </w:rPr>
        <w:t xml:space="preserve">and misted frequently to maintain </w:t>
      </w:r>
      <w:r w:rsidR="005775F4">
        <w:rPr>
          <w:bCs/>
          <w:lang w:val="en-US"/>
        </w:rPr>
        <w:t>humid</w:t>
      </w:r>
      <w:r w:rsidR="00185276">
        <w:rPr>
          <w:bCs/>
          <w:lang w:val="en-US"/>
        </w:rPr>
        <w:t>it</w:t>
      </w:r>
      <w:r w:rsidR="005775F4">
        <w:rPr>
          <w:bCs/>
          <w:lang w:val="en-US"/>
        </w:rPr>
        <w:t>y</w:t>
      </w:r>
      <w:r w:rsidR="00185276">
        <w:rPr>
          <w:bCs/>
          <w:lang w:val="en-US"/>
        </w:rPr>
        <w:t xml:space="preserve">. After </w:t>
      </w:r>
      <w:r w:rsidR="00AE41B0">
        <w:rPr>
          <w:bCs/>
          <w:lang w:val="en-US"/>
        </w:rPr>
        <w:t>six</w:t>
      </w:r>
      <w:r w:rsidR="00185276">
        <w:rPr>
          <w:bCs/>
          <w:lang w:val="en-US"/>
        </w:rPr>
        <w:t xml:space="preserve"> weeks </w:t>
      </w:r>
      <w:r w:rsidR="00592BA5">
        <w:rPr>
          <w:bCs/>
          <w:lang w:val="en-US"/>
        </w:rPr>
        <w:t>there w</w:t>
      </w:r>
      <w:r w:rsidR="00185276">
        <w:rPr>
          <w:bCs/>
          <w:lang w:val="en-US"/>
        </w:rPr>
        <w:t>as sig</w:t>
      </w:r>
      <w:r w:rsidR="00592BA5">
        <w:rPr>
          <w:bCs/>
          <w:lang w:val="en-US"/>
        </w:rPr>
        <w:t xml:space="preserve">nificantly </w:t>
      </w:r>
      <w:r w:rsidR="00352040">
        <w:rPr>
          <w:bCs/>
          <w:lang w:val="en-US"/>
        </w:rPr>
        <w:t>(P=0.05) l</w:t>
      </w:r>
      <w:r w:rsidR="00185276">
        <w:rPr>
          <w:bCs/>
          <w:lang w:val="en-US"/>
        </w:rPr>
        <w:t>ess dis</w:t>
      </w:r>
      <w:r w:rsidR="00592BA5">
        <w:rPr>
          <w:bCs/>
          <w:lang w:val="en-US"/>
        </w:rPr>
        <w:t>ease</w:t>
      </w:r>
      <w:r w:rsidR="00352040">
        <w:rPr>
          <w:bCs/>
          <w:lang w:val="en-US"/>
        </w:rPr>
        <w:t xml:space="preserve"> incidence in the </w:t>
      </w:r>
      <w:r w:rsidR="00592BA5">
        <w:rPr>
          <w:bCs/>
          <w:lang w:val="en-US"/>
        </w:rPr>
        <w:t>TP treat</w:t>
      </w:r>
      <w:r w:rsidR="00066176">
        <w:rPr>
          <w:bCs/>
          <w:lang w:val="en-US"/>
        </w:rPr>
        <w:t>ed</w:t>
      </w:r>
      <w:r w:rsidR="00352040">
        <w:rPr>
          <w:bCs/>
          <w:lang w:val="en-US"/>
        </w:rPr>
        <w:t xml:space="preserve"> plugs</w:t>
      </w:r>
      <w:r w:rsidR="00592BA5">
        <w:rPr>
          <w:bCs/>
          <w:lang w:val="en-US"/>
        </w:rPr>
        <w:t xml:space="preserve"> compared to </w:t>
      </w:r>
      <w:r w:rsidR="00352040">
        <w:rPr>
          <w:bCs/>
          <w:lang w:val="en-US"/>
        </w:rPr>
        <w:t xml:space="preserve">untreated ones. Other treatment </w:t>
      </w:r>
      <w:r w:rsidR="00CC0162">
        <w:rPr>
          <w:bCs/>
          <w:lang w:val="en-US"/>
        </w:rPr>
        <w:t>mean</w:t>
      </w:r>
      <w:r w:rsidR="00352040">
        <w:rPr>
          <w:bCs/>
          <w:lang w:val="en-US"/>
        </w:rPr>
        <w:t xml:space="preserve"> comparisons </w:t>
      </w:r>
      <w:r w:rsidR="002134E1">
        <w:rPr>
          <w:bCs/>
          <w:lang w:val="en-US"/>
        </w:rPr>
        <w:t xml:space="preserve">yielded no significant differences. </w:t>
      </w:r>
    </w:p>
    <w:p w14:paraId="4E6BD2FE" w14:textId="1F9E4895" w:rsidR="00C743C3" w:rsidRPr="002B2D88" w:rsidRDefault="002B2D88">
      <w:pPr>
        <w:rPr>
          <w:b/>
          <w:lang w:val="en-US"/>
        </w:rPr>
      </w:pPr>
      <w:r w:rsidRPr="002B2D88">
        <w:rPr>
          <w:b/>
          <w:lang w:val="en-US"/>
        </w:rPr>
        <w:t>Trianum</w:t>
      </w:r>
      <w:r w:rsidR="009945FF">
        <w:rPr>
          <w:b/>
          <w:lang w:val="en-US"/>
        </w:rPr>
        <w:t>-P</w:t>
      </w:r>
      <w:r w:rsidRPr="002B2D88">
        <w:rPr>
          <w:b/>
          <w:lang w:val="en-US"/>
        </w:rPr>
        <w:t xml:space="preserve"> growth effects </w:t>
      </w:r>
      <w:r w:rsidR="00B17415">
        <w:rPr>
          <w:b/>
          <w:lang w:val="en-US"/>
        </w:rPr>
        <w:t>in</w:t>
      </w:r>
      <w:r w:rsidRPr="002B2D88">
        <w:rPr>
          <w:b/>
          <w:lang w:val="en-US"/>
        </w:rPr>
        <w:t xml:space="preserve"> nursery stock</w:t>
      </w:r>
    </w:p>
    <w:p w14:paraId="3A3B3C2C" w14:textId="7745B433" w:rsidR="009F6731" w:rsidRDefault="00760074">
      <w:pPr>
        <w:rPr>
          <w:bCs/>
          <w:lang w:val="en-US"/>
        </w:rPr>
      </w:pPr>
      <w:r>
        <w:rPr>
          <w:bCs/>
          <w:lang w:val="en-US"/>
        </w:rPr>
        <w:t xml:space="preserve">A commercial trial was set up to study the growth effects of </w:t>
      </w:r>
      <w:proofErr w:type="spellStart"/>
      <w:r>
        <w:rPr>
          <w:bCs/>
          <w:lang w:val="en-US"/>
        </w:rPr>
        <w:t>Trianum</w:t>
      </w:r>
      <w:proofErr w:type="spellEnd"/>
      <w:r w:rsidR="001104EA">
        <w:rPr>
          <w:bCs/>
          <w:lang w:val="en-US"/>
        </w:rPr>
        <w:t>-P</w:t>
      </w:r>
      <w:r>
        <w:rPr>
          <w:bCs/>
          <w:lang w:val="en-US"/>
        </w:rPr>
        <w:t xml:space="preserve"> in </w:t>
      </w:r>
      <w:r w:rsidRPr="00DC4508">
        <w:rPr>
          <w:bCs/>
          <w:i/>
          <w:iCs/>
          <w:lang w:val="en-US"/>
        </w:rPr>
        <w:t>Deutzia</w:t>
      </w:r>
      <w:r w:rsidR="00844AB6" w:rsidRPr="00DC4508">
        <w:rPr>
          <w:bCs/>
          <w:i/>
          <w:iCs/>
          <w:lang w:val="en-US"/>
        </w:rPr>
        <w:t xml:space="preserve"> </w:t>
      </w:r>
      <w:proofErr w:type="spellStart"/>
      <w:r w:rsidR="00844AB6" w:rsidRPr="00DC4508">
        <w:rPr>
          <w:bCs/>
          <w:i/>
          <w:iCs/>
          <w:lang w:val="en-US"/>
        </w:rPr>
        <w:t>nikko</w:t>
      </w:r>
      <w:proofErr w:type="spellEnd"/>
      <w:r>
        <w:rPr>
          <w:bCs/>
          <w:lang w:val="en-US"/>
        </w:rPr>
        <w:t xml:space="preserve">, </w:t>
      </w:r>
      <w:r w:rsidR="00DC4508">
        <w:rPr>
          <w:i/>
        </w:rPr>
        <w:t>Hebe</w:t>
      </w:r>
      <w:r w:rsidR="00DC4508">
        <w:t xml:space="preserve"> x </w:t>
      </w:r>
      <w:proofErr w:type="spellStart"/>
      <w:r w:rsidR="00DC4508">
        <w:rPr>
          <w:i/>
        </w:rPr>
        <w:t>andersonii</w:t>
      </w:r>
      <w:proofErr w:type="spellEnd"/>
      <w:r w:rsidR="00DC4508">
        <w:t xml:space="preserve"> ‘</w:t>
      </w:r>
      <w:proofErr w:type="spellStart"/>
      <w:r w:rsidR="00DC4508">
        <w:t>Variegata</w:t>
      </w:r>
      <w:proofErr w:type="spellEnd"/>
      <w:r w:rsidR="00DC4508">
        <w:t>’</w:t>
      </w:r>
      <w:r w:rsidR="00844AB6">
        <w:rPr>
          <w:bCs/>
          <w:lang w:val="en-US"/>
        </w:rPr>
        <w:t xml:space="preserve"> </w:t>
      </w:r>
      <w:r>
        <w:rPr>
          <w:bCs/>
          <w:lang w:val="en-US"/>
        </w:rPr>
        <w:t xml:space="preserve">and </w:t>
      </w:r>
      <w:r w:rsidRPr="00DC4508">
        <w:rPr>
          <w:bCs/>
          <w:i/>
          <w:iCs/>
          <w:lang w:val="en-US"/>
        </w:rPr>
        <w:t>Ceanothus</w:t>
      </w:r>
      <w:r w:rsidR="00844AB6" w:rsidRPr="00DC4508">
        <w:rPr>
          <w:bCs/>
          <w:i/>
          <w:iCs/>
          <w:lang w:val="en-US"/>
        </w:rPr>
        <w:t xml:space="preserve"> </w:t>
      </w:r>
      <w:proofErr w:type="spellStart"/>
      <w:r w:rsidR="00844AB6" w:rsidRPr="00DC4508">
        <w:rPr>
          <w:bCs/>
          <w:i/>
          <w:iCs/>
          <w:lang w:val="en-US"/>
        </w:rPr>
        <w:t>repens</w:t>
      </w:r>
      <w:proofErr w:type="spellEnd"/>
      <w:r>
        <w:rPr>
          <w:bCs/>
          <w:lang w:val="en-US"/>
        </w:rPr>
        <w:t xml:space="preserve">. </w:t>
      </w:r>
      <w:r w:rsidR="00442136">
        <w:rPr>
          <w:bCs/>
          <w:lang w:val="en-US"/>
        </w:rPr>
        <w:t xml:space="preserve">On close examination some </w:t>
      </w:r>
      <w:r w:rsidR="009052D1">
        <w:rPr>
          <w:bCs/>
          <w:lang w:val="en-US"/>
        </w:rPr>
        <w:t xml:space="preserve">of the </w:t>
      </w:r>
      <w:r w:rsidR="009052D1" w:rsidRPr="00DC4508">
        <w:rPr>
          <w:bCs/>
          <w:i/>
          <w:iCs/>
          <w:lang w:val="en-US"/>
        </w:rPr>
        <w:t>Deutzia</w:t>
      </w:r>
      <w:r w:rsidR="009052D1">
        <w:rPr>
          <w:bCs/>
          <w:lang w:val="en-US"/>
        </w:rPr>
        <w:t xml:space="preserve"> </w:t>
      </w:r>
      <w:r w:rsidR="00442136">
        <w:rPr>
          <w:bCs/>
          <w:lang w:val="en-US"/>
        </w:rPr>
        <w:t xml:space="preserve">roots were </w:t>
      </w:r>
      <w:proofErr w:type="spellStart"/>
      <w:r w:rsidR="00442136">
        <w:rPr>
          <w:bCs/>
          <w:lang w:val="en-US"/>
        </w:rPr>
        <w:t>discoloured</w:t>
      </w:r>
      <w:proofErr w:type="spellEnd"/>
      <w:r w:rsidR="00442136">
        <w:rPr>
          <w:bCs/>
          <w:lang w:val="en-US"/>
        </w:rPr>
        <w:t xml:space="preserve"> and collap</w:t>
      </w:r>
      <w:r w:rsidR="009052D1">
        <w:rPr>
          <w:bCs/>
          <w:lang w:val="en-US"/>
        </w:rPr>
        <w:t>s</w:t>
      </w:r>
      <w:r w:rsidR="00442136">
        <w:rPr>
          <w:bCs/>
          <w:lang w:val="en-US"/>
        </w:rPr>
        <w:t>ed</w:t>
      </w:r>
      <w:r w:rsidR="00CC0162">
        <w:rPr>
          <w:bCs/>
          <w:lang w:val="en-US"/>
        </w:rPr>
        <w:t xml:space="preserve"> caused </w:t>
      </w:r>
      <w:r w:rsidR="009052D1">
        <w:rPr>
          <w:bCs/>
          <w:lang w:val="en-US"/>
        </w:rPr>
        <w:t xml:space="preserve">by soil borne </w:t>
      </w:r>
      <w:r w:rsidR="00CC0162">
        <w:rPr>
          <w:bCs/>
          <w:lang w:val="en-US"/>
        </w:rPr>
        <w:t>disease infections. T</w:t>
      </w:r>
      <w:r w:rsidR="009052D1">
        <w:rPr>
          <w:bCs/>
          <w:lang w:val="en-US"/>
        </w:rPr>
        <w:t xml:space="preserve">he </w:t>
      </w:r>
      <w:r w:rsidR="009052D1" w:rsidRPr="00DC4508">
        <w:rPr>
          <w:bCs/>
          <w:i/>
          <w:iCs/>
          <w:lang w:val="en-US"/>
        </w:rPr>
        <w:t>Hebe</w:t>
      </w:r>
      <w:r w:rsidR="009052D1">
        <w:rPr>
          <w:bCs/>
          <w:lang w:val="en-US"/>
        </w:rPr>
        <w:t xml:space="preserve"> roots were </w:t>
      </w:r>
      <w:r w:rsidR="00975B59">
        <w:rPr>
          <w:bCs/>
          <w:lang w:val="en-US"/>
        </w:rPr>
        <w:t xml:space="preserve">also </w:t>
      </w:r>
      <w:proofErr w:type="spellStart"/>
      <w:proofErr w:type="gramStart"/>
      <w:r w:rsidR="00975B59">
        <w:rPr>
          <w:bCs/>
          <w:lang w:val="en-US"/>
        </w:rPr>
        <w:t>discoloured</w:t>
      </w:r>
      <w:proofErr w:type="spellEnd"/>
      <w:proofErr w:type="gramEnd"/>
      <w:r w:rsidR="00975B59">
        <w:rPr>
          <w:bCs/>
          <w:lang w:val="en-US"/>
        </w:rPr>
        <w:t xml:space="preserve"> but this was </w:t>
      </w:r>
      <w:r w:rsidR="00CC0162">
        <w:rPr>
          <w:bCs/>
          <w:lang w:val="en-US"/>
        </w:rPr>
        <w:t xml:space="preserve">considered normal for this plant species. </w:t>
      </w:r>
      <w:r w:rsidR="00975B59">
        <w:rPr>
          <w:bCs/>
          <w:lang w:val="en-US"/>
        </w:rPr>
        <w:t xml:space="preserve">The </w:t>
      </w:r>
      <w:r w:rsidR="00975B59" w:rsidRPr="00DC4508">
        <w:rPr>
          <w:bCs/>
          <w:i/>
          <w:iCs/>
          <w:lang w:val="en-US"/>
        </w:rPr>
        <w:t>Ceanothus</w:t>
      </w:r>
      <w:r w:rsidR="00975B59">
        <w:rPr>
          <w:bCs/>
          <w:lang w:val="en-US"/>
        </w:rPr>
        <w:t xml:space="preserve"> roots were white and healthy. </w:t>
      </w:r>
      <w:r w:rsidR="0044749E">
        <w:rPr>
          <w:bCs/>
          <w:lang w:val="en-US"/>
        </w:rPr>
        <w:t>A total of 126 plugs were potted-on into 9</w:t>
      </w:r>
      <w:r w:rsidR="00DC4508">
        <w:rPr>
          <w:bCs/>
          <w:lang w:val="en-US"/>
        </w:rPr>
        <w:t xml:space="preserve"> </w:t>
      </w:r>
      <w:r w:rsidR="0044749E">
        <w:rPr>
          <w:bCs/>
          <w:lang w:val="en-US"/>
        </w:rPr>
        <w:t>cm pots</w:t>
      </w:r>
      <w:r w:rsidR="0048629B">
        <w:rPr>
          <w:bCs/>
          <w:lang w:val="en-US"/>
        </w:rPr>
        <w:t xml:space="preserve"> (volume 57</w:t>
      </w:r>
      <w:r w:rsidR="00F130D1">
        <w:rPr>
          <w:bCs/>
          <w:lang w:val="en-US"/>
        </w:rPr>
        <w:t>0</w:t>
      </w:r>
      <w:r w:rsidR="00DC4508">
        <w:rPr>
          <w:bCs/>
          <w:lang w:val="en-US"/>
        </w:rPr>
        <w:t xml:space="preserve"> </w:t>
      </w:r>
      <w:r w:rsidR="0048629B">
        <w:rPr>
          <w:bCs/>
          <w:lang w:val="en-US"/>
        </w:rPr>
        <w:t>cm</w:t>
      </w:r>
      <w:r w:rsidR="0048629B" w:rsidRPr="0048629B">
        <w:rPr>
          <w:bCs/>
          <w:vertAlign w:val="superscript"/>
          <w:lang w:val="en-US"/>
        </w:rPr>
        <w:t>3</w:t>
      </w:r>
      <w:r w:rsidR="0048629B">
        <w:rPr>
          <w:bCs/>
          <w:lang w:val="en-US"/>
        </w:rPr>
        <w:t>)</w:t>
      </w:r>
      <w:r w:rsidR="0044749E">
        <w:rPr>
          <w:bCs/>
          <w:lang w:val="en-US"/>
        </w:rPr>
        <w:t xml:space="preserve"> in </w:t>
      </w:r>
      <w:proofErr w:type="spellStart"/>
      <w:r w:rsidR="0044749E">
        <w:rPr>
          <w:bCs/>
          <w:lang w:val="en-US"/>
        </w:rPr>
        <w:t>Klasmann</w:t>
      </w:r>
      <w:proofErr w:type="spellEnd"/>
      <w:r w:rsidR="0044749E">
        <w:rPr>
          <w:bCs/>
          <w:lang w:val="en-US"/>
        </w:rPr>
        <w:t xml:space="preserve"> container substrate</w:t>
      </w:r>
      <w:r w:rsidR="009052D1">
        <w:rPr>
          <w:bCs/>
          <w:lang w:val="en-US"/>
        </w:rPr>
        <w:t xml:space="preserve"> on 26</w:t>
      </w:r>
      <w:r w:rsidR="009052D1" w:rsidRPr="009052D1">
        <w:rPr>
          <w:bCs/>
          <w:vertAlign w:val="superscript"/>
          <w:lang w:val="en-US"/>
        </w:rPr>
        <w:t>th</w:t>
      </w:r>
      <w:r w:rsidR="009052D1">
        <w:rPr>
          <w:bCs/>
          <w:lang w:val="en-US"/>
        </w:rPr>
        <w:t xml:space="preserve"> March</w:t>
      </w:r>
      <w:r w:rsidR="0044749E">
        <w:rPr>
          <w:bCs/>
          <w:lang w:val="en-US"/>
        </w:rPr>
        <w:t xml:space="preserve">. The trial consisted of </w:t>
      </w:r>
      <w:r w:rsidR="00DB3ECF">
        <w:rPr>
          <w:bCs/>
          <w:lang w:val="en-US"/>
        </w:rPr>
        <w:t>seven</w:t>
      </w:r>
      <w:r w:rsidR="0044749E">
        <w:rPr>
          <w:bCs/>
          <w:lang w:val="en-US"/>
        </w:rPr>
        <w:t xml:space="preserve"> treatments and 18 plants per treatment (</w:t>
      </w:r>
      <w:r w:rsidR="009F6731">
        <w:rPr>
          <w:bCs/>
          <w:lang w:val="en-US"/>
        </w:rPr>
        <w:t>three</w:t>
      </w:r>
      <w:r w:rsidR="0044749E">
        <w:rPr>
          <w:bCs/>
          <w:lang w:val="en-US"/>
        </w:rPr>
        <w:t xml:space="preserve"> plant species x </w:t>
      </w:r>
      <w:r w:rsidR="009F6731">
        <w:rPr>
          <w:bCs/>
          <w:lang w:val="en-US"/>
        </w:rPr>
        <w:t>six</w:t>
      </w:r>
      <w:r w:rsidR="0044749E">
        <w:rPr>
          <w:bCs/>
          <w:lang w:val="en-US"/>
        </w:rPr>
        <w:t xml:space="preserve"> plant replicates per treatment).</w:t>
      </w:r>
      <w:r w:rsidR="009052D1">
        <w:rPr>
          <w:bCs/>
          <w:lang w:val="en-US"/>
        </w:rPr>
        <w:t xml:space="preserve"> </w:t>
      </w:r>
      <w:r w:rsidR="00975B59">
        <w:rPr>
          <w:bCs/>
          <w:lang w:val="en-US"/>
        </w:rPr>
        <w:t>All pots received two treatments, the first on the 1</w:t>
      </w:r>
      <w:r w:rsidR="00975B59" w:rsidRPr="00975B59">
        <w:rPr>
          <w:bCs/>
          <w:vertAlign w:val="superscript"/>
          <w:lang w:val="en-US"/>
        </w:rPr>
        <w:t>st</w:t>
      </w:r>
      <w:r w:rsidR="00975B59">
        <w:rPr>
          <w:bCs/>
          <w:lang w:val="en-US"/>
        </w:rPr>
        <w:t xml:space="preserve"> April and the second on the 2</w:t>
      </w:r>
      <w:r w:rsidR="00975B59" w:rsidRPr="00975B59">
        <w:rPr>
          <w:bCs/>
          <w:vertAlign w:val="superscript"/>
          <w:lang w:val="en-US"/>
        </w:rPr>
        <w:t>nd</w:t>
      </w:r>
      <w:r w:rsidR="00975B59">
        <w:rPr>
          <w:bCs/>
          <w:lang w:val="en-US"/>
        </w:rPr>
        <w:t xml:space="preserve"> May. After potting-on all </w:t>
      </w:r>
      <w:r w:rsidR="00CF1F0C">
        <w:rPr>
          <w:bCs/>
          <w:lang w:val="en-US"/>
        </w:rPr>
        <w:t xml:space="preserve">126 </w:t>
      </w:r>
      <w:r w:rsidR="00975B59">
        <w:rPr>
          <w:bCs/>
          <w:lang w:val="en-US"/>
        </w:rPr>
        <w:t xml:space="preserve">pots </w:t>
      </w:r>
      <w:r w:rsidR="00975B59">
        <w:rPr>
          <w:bCs/>
          <w:lang w:val="en-US"/>
        </w:rPr>
        <w:lastRenderedPageBreak/>
        <w:t>received 1</w:t>
      </w:r>
      <w:r w:rsidR="009F6731">
        <w:rPr>
          <w:bCs/>
          <w:lang w:val="en-US"/>
        </w:rPr>
        <w:t xml:space="preserve"> </w:t>
      </w:r>
      <w:r w:rsidR="00975B59">
        <w:rPr>
          <w:bCs/>
          <w:lang w:val="en-US"/>
        </w:rPr>
        <w:t xml:space="preserve">g of </w:t>
      </w:r>
      <w:proofErr w:type="spellStart"/>
      <w:r w:rsidR="00CF1F0C">
        <w:rPr>
          <w:bCs/>
          <w:lang w:val="en-US"/>
        </w:rPr>
        <w:t>Vidi</w:t>
      </w:r>
      <w:proofErr w:type="spellEnd"/>
      <w:r w:rsidR="00CF1F0C">
        <w:rPr>
          <w:bCs/>
          <w:lang w:val="en-US"/>
        </w:rPr>
        <w:t xml:space="preserve"> </w:t>
      </w:r>
      <w:proofErr w:type="spellStart"/>
      <w:r w:rsidR="00CF1F0C">
        <w:rPr>
          <w:bCs/>
          <w:lang w:val="en-US"/>
        </w:rPr>
        <w:t>Funda</w:t>
      </w:r>
      <w:proofErr w:type="spellEnd"/>
      <w:r w:rsidR="00CF1F0C">
        <w:rPr>
          <w:bCs/>
          <w:lang w:val="en-US"/>
        </w:rPr>
        <w:t xml:space="preserve"> </w:t>
      </w:r>
      <w:r w:rsidR="00E14551">
        <w:rPr>
          <w:bCs/>
          <w:lang w:val="en-US"/>
        </w:rPr>
        <w:t xml:space="preserve">(7:2:4) </w:t>
      </w:r>
      <w:r w:rsidR="00CF1F0C">
        <w:rPr>
          <w:bCs/>
          <w:lang w:val="en-US"/>
        </w:rPr>
        <w:t xml:space="preserve">which was applied to each pot individually to provide plants with equal levels of </w:t>
      </w:r>
      <w:proofErr w:type="spellStart"/>
      <w:r w:rsidR="00CF1F0C">
        <w:rPr>
          <w:bCs/>
          <w:lang w:val="en-US"/>
        </w:rPr>
        <w:t>fertiliser</w:t>
      </w:r>
      <w:proofErr w:type="spellEnd"/>
      <w:r w:rsidR="00CC0162">
        <w:rPr>
          <w:bCs/>
          <w:lang w:val="en-US"/>
        </w:rPr>
        <w:t xml:space="preserve"> for </w:t>
      </w:r>
      <w:r w:rsidR="00CF1F0C">
        <w:rPr>
          <w:bCs/>
          <w:lang w:val="en-US"/>
        </w:rPr>
        <w:t xml:space="preserve">the </w:t>
      </w:r>
      <w:r w:rsidR="00D53641">
        <w:rPr>
          <w:bCs/>
          <w:lang w:val="en-US"/>
        </w:rPr>
        <w:t>three-month</w:t>
      </w:r>
      <w:r w:rsidR="00E14543">
        <w:rPr>
          <w:bCs/>
          <w:lang w:val="en-US"/>
        </w:rPr>
        <w:t xml:space="preserve"> </w:t>
      </w:r>
      <w:r w:rsidR="00CF1F0C">
        <w:rPr>
          <w:bCs/>
          <w:lang w:val="en-US"/>
        </w:rPr>
        <w:t>trial period. The treatments were</w:t>
      </w:r>
      <w:r w:rsidR="009F6731">
        <w:rPr>
          <w:bCs/>
          <w:lang w:val="en-US"/>
        </w:rPr>
        <w:t>:</w:t>
      </w:r>
    </w:p>
    <w:p w14:paraId="07F9858F" w14:textId="44B4F199" w:rsidR="009F6731" w:rsidRDefault="00CF1F0C" w:rsidP="009F6731">
      <w:pPr>
        <w:spacing w:after="0"/>
        <w:rPr>
          <w:bCs/>
          <w:lang w:val="en-US"/>
        </w:rPr>
      </w:pPr>
      <w:r>
        <w:rPr>
          <w:bCs/>
          <w:lang w:val="en-US"/>
        </w:rPr>
        <w:t xml:space="preserve">1) Untreated </w:t>
      </w:r>
    </w:p>
    <w:p w14:paraId="3AF12360" w14:textId="133DCB82" w:rsidR="009F6731" w:rsidRDefault="00CF1F0C" w:rsidP="009F6731">
      <w:pPr>
        <w:spacing w:after="0"/>
        <w:rPr>
          <w:bCs/>
          <w:lang w:val="en-US"/>
        </w:rPr>
      </w:pPr>
      <w:r>
        <w:rPr>
          <w:bCs/>
          <w:lang w:val="en-US"/>
        </w:rPr>
        <w:t>2) M149 (2g/m</w:t>
      </w:r>
      <w:r w:rsidRPr="00CF1F0C">
        <w:rPr>
          <w:bCs/>
          <w:vertAlign w:val="superscript"/>
          <w:lang w:val="en-US"/>
        </w:rPr>
        <w:t>2</w:t>
      </w:r>
      <w:r>
        <w:rPr>
          <w:bCs/>
          <w:lang w:val="en-US"/>
        </w:rPr>
        <w:t xml:space="preserve">) </w:t>
      </w:r>
    </w:p>
    <w:p w14:paraId="6A48C357" w14:textId="69418FFD" w:rsidR="009F6731" w:rsidRDefault="00CF1F0C" w:rsidP="009F6731">
      <w:pPr>
        <w:spacing w:after="0"/>
        <w:rPr>
          <w:bCs/>
          <w:lang w:val="en-US"/>
        </w:rPr>
      </w:pPr>
      <w:r>
        <w:rPr>
          <w:bCs/>
          <w:lang w:val="en-US"/>
        </w:rPr>
        <w:t xml:space="preserve">3) </w:t>
      </w:r>
      <w:proofErr w:type="spellStart"/>
      <w:r>
        <w:rPr>
          <w:bCs/>
          <w:lang w:val="en-US"/>
        </w:rPr>
        <w:t>Trianum</w:t>
      </w:r>
      <w:proofErr w:type="spellEnd"/>
      <w:r>
        <w:rPr>
          <w:bCs/>
          <w:lang w:val="en-US"/>
        </w:rPr>
        <w:t>-P (2g/m</w:t>
      </w:r>
      <w:r w:rsidRPr="00CF1F0C">
        <w:rPr>
          <w:bCs/>
          <w:vertAlign w:val="superscript"/>
          <w:lang w:val="en-US"/>
        </w:rPr>
        <w:t>2</w:t>
      </w:r>
      <w:r>
        <w:rPr>
          <w:bCs/>
          <w:lang w:val="en-US"/>
        </w:rPr>
        <w:t xml:space="preserve">) </w:t>
      </w:r>
    </w:p>
    <w:p w14:paraId="76185903" w14:textId="20057F82" w:rsidR="009F6731" w:rsidRDefault="007B5D2F" w:rsidP="009F6731">
      <w:pPr>
        <w:spacing w:after="0"/>
        <w:rPr>
          <w:bCs/>
          <w:lang w:val="en-US"/>
        </w:rPr>
      </w:pPr>
      <w:r>
        <w:rPr>
          <w:bCs/>
          <w:lang w:val="en-US"/>
        </w:rPr>
        <w:t>4</w:t>
      </w:r>
      <w:r w:rsidR="00CF1F0C">
        <w:rPr>
          <w:bCs/>
          <w:lang w:val="en-US"/>
        </w:rPr>
        <w:t xml:space="preserve">) </w:t>
      </w:r>
      <w:bookmarkStart w:id="2" w:name="_Hlk12987452"/>
      <w:proofErr w:type="spellStart"/>
      <w:r w:rsidR="00CF1F0C">
        <w:rPr>
          <w:bCs/>
          <w:lang w:val="en-US"/>
        </w:rPr>
        <w:t>Vidi</w:t>
      </w:r>
      <w:proofErr w:type="spellEnd"/>
      <w:r w:rsidR="00CF1F0C">
        <w:rPr>
          <w:bCs/>
          <w:lang w:val="en-US"/>
        </w:rPr>
        <w:t xml:space="preserve"> Parva (2.8</w:t>
      </w:r>
      <w:r w:rsidR="00E054E8">
        <w:rPr>
          <w:bCs/>
          <w:lang w:val="en-US"/>
        </w:rPr>
        <w:t xml:space="preserve"> </w:t>
      </w:r>
      <w:r w:rsidR="00CF1F0C">
        <w:rPr>
          <w:bCs/>
          <w:lang w:val="en-US"/>
        </w:rPr>
        <w:t>ml/m</w:t>
      </w:r>
      <w:r w:rsidR="00CF1F0C" w:rsidRPr="00CF1F0C">
        <w:rPr>
          <w:bCs/>
          <w:vertAlign w:val="superscript"/>
          <w:lang w:val="en-US"/>
        </w:rPr>
        <w:t>2</w:t>
      </w:r>
      <w:bookmarkEnd w:id="2"/>
      <w:r w:rsidR="00CF1F0C">
        <w:rPr>
          <w:bCs/>
          <w:lang w:val="en-US"/>
        </w:rPr>
        <w:t xml:space="preserve">) </w:t>
      </w:r>
    </w:p>
    <w:p w14:paraId="041FA231" w14:textId="0DF970A7" w:rsidR="009F6731" w:rsidRDefault="007B5D2F" w:rsidP="009F6731">
      <w:pPr>
        <w:spacing w:after="0"/>
        <w:rPr>
          <w:bCs/>
          <w:lang w:val="en-US"/>
        </w:rPr>
      </w:pPr>
      <w:r>
        <w:rPr>
          <w:bCs/>
          <w:lang w:val="en-US"/>
        </w:rPr>
        <w:t>5</w:t>
      </w:r>
      <w:r w:rsidR="00CF1F0C">
        <w:rPr>
          <w:bCs/>
          <w:lang w:val="en-US"/>
        </w:rPr>
        <w:t>) M149 (2g/m</w:t>
      </w:r>
      <w:r w:rsidR="00CF1F0C" w:rsidRPr="00CF1F0C">
        <w:rPr>
          <w:bCs/>
          <w:vertAlign w:val="superscript"/>
          <w:lang w:val="en-US"/>
        </w:rPr>
        <w:t>2</w:t>
      </w:r>
      <w:r w:rsidR="00CF1F0C">
        <w:rPr>
          <w:bCs/>
          <w:lang w:val="en-US"/>
        </w:rPr>
        <w:t xml:space="preserve">) + </w:t>
      </w:r>
      <w:proofErr w:type="spellStart"/>
      <w:r w:rsidR="00CF1F0C">
        <w:rPr>
          <w:bCs/>
          <w:lang w:val="en-US"/>
        </w:rPr>
        <w:t>Vidi</w:t>
      </w:r>
      <w:proofErr w:type="spellEnd"/>
      <w:r w:rsidR="00CF1F0C">
        <w:rPr>
          <w:bCs/>
          <w:lang w:val="en-US"/>
        </w:rPr>
        <w:t xml:space="preserve"> Parva (2.8</w:t>
      </w:r>
      <w:r w:rsidR="00E054E8">
        <w:rPr>
          <w:bCs/>
          <w:lang w:val="en-US"/>
        </w:rPr>
        <w:t xml:space="preserve"> </w:t>
      </w:r>
      <w:r w:rsidR="00CF1F0C">
        <w:rPr>
          <w:bCs/>
          <w:lang w:val="en-US"/>
        </w:rPr>
        <w:t>ml/m</w:t>
      </w:r>
      <w:r w:rsidR="00CF1F0C" w:rsidRPr="00CF1F0C">
        <w:rPr>
          <w:bCs/>
          <w:vertAlign w:val="superscript"/>
          <w:lang w:val="en-US"/>
        </w:rPr>
        <w:t>2</w:t>
      </w:r>
      <w:r w:rsidR="00CF1F0C">
        <w:rPr>
          <w:bCs/>
          <w:lang w:val="en-US"/>
        </w:rPr>
        <w:t xml:space="preserve">) </w:t>
      </w:r>
    </w:p>
    <w:p w14:paraId="60B9833B" w14:textId="356362A7" w:rsidR="009F6731" w:rsidRDefault="007B5D2F" w:rsidP="009F6731">
      <w:pPr>
        <w:spacing w:after="0"/>
        <w:rPr>
          <w:bCs/>
          <w:lang w:val="en-US"/>
        </w:rPr>
      </w:pPr>
      <w:r>
        <w:rPr>
          <w:bCs/>
          <w:lang w:val="en-US"/>
        </w:rPr>
        <w:t xml:space="preserve">6) </w:t>
      </w:r>
      <w:proofErr w:type="spellStart"/>
      <w:r w:rsidR="00DE5404">
        <w:rPr>
          <w:bCs/>
          <w:lang w:val="en-US"/>
        </w:rPr>
        <w:t>Trianum</w:t>
      </w:r>
      <w:proofErr w:type="spellEnd"/>
      <w:r w:rsidR="00DE5404">
        <w:rPr>
          <w:bCs/>
          <w:lang w:val="en-US"/>
        </w:rPr>
        <w:t>-P (2g/m</w:t>
      </w:r>
      <w:r w:rsidR="00DE5404" w:rsidRPr="00CF1F0C">
        <w:rPr>
          <w:bCs/>
          <w:vertAlign w:val="superscript"/>
          <w:lang w:val="en-US"/>
        </w:rPr>
        <w:t>2</w:t>
      </w:r>
      <w:r w:rsidR="00DE5404">
        <w:rPr>
          <w:bCs/>
          <w:lang w:val="en-US"/>
        </w:rPr>
        <w:t xml:space="preserve">) + </w:t>
      </w:r>
      <w:proofErr w:type="spellStart"/>
      <w:r w:rsidR="00DE5404">
        <w:rPr>
          <w:bCs/>
          <w:lang w:val="en-US"/>
        </w:rPr>
        <w:t>Vidi</w:t>
      </w:r>
      <w:proofErr w:type="spellEnd"/>
      <w:r w:rsidR="00DE5404">
        <w:rPr>
          <w:bCs/>
          <w:lang w:val="en-US"/>
        </w:rPr>
        <w:t xml:space="preserve"> Parva (2.8</w:t>
      </w:r>
      <w:r w:rsidR="00E054E8">
        <w:rPr>
          <w:bCs/>
          <w:lang w:val="en-US"/>
        </w:rPr>
        <w:t xml:space="preserve"> </w:t>
      </w:r>
      <w:r w:rsidR="00DE5404">
        <w:rPr>
          <w:bCs/>
          <w:lang w:val="en-US"/>
        </w:rPr>
        <w:t>ml/m</w:t>
      </w:r>
      <w:r w:rsidR="00DE5404" w:rsidRPr="00CF1F0C">
        <w:rPr>
          <w:bCs/>
          <w:vertAlign w:val="superscript"/>
          <w:lang w:val="en-US"/>
        </w:rPr>
        <w:t>2</w:t>
      </w:r>
      <w:r w:rsidR="00DE5404">
        <w:rPr>
          <w:bCs/>
          <w:lang w:val="en-US"/>
        </w:rPr>
        <w:t>)</w:t>
      </w:r>
    </w:p>
    <w:p w14:paraId="505B030E" w14:textId="40CC6C0C" w:rsidR="009F6731" w:rsidRDefault="00DE5404" w:rsidP="009F6731">
      <w:pPr>
        <w:spacing w:after="0"/>
        <w:rPr>
          <w:bCs/>
          <w:lang w:val="en-US"/>
        </w:rPr>
      </w:pPr>
      <w:r>
        <w:rPr>
          <w:bCs/>
          <w:lang w:val="en-US"/>
        </w:rPr>
        <w:t xml:space="preserve">7) </w:t>
      </w:r>
      <w:proofErr w:type="spellStart"/>
      <w:r>
        <w:rPr>
          <w:bCs/>
          <w:lang w:val="en-US"/>
        </w:rPr>
        <w:t>Fortafol</w:t>
      </w:r>
      <w:proofErr w:type="spellEnd"/>
      <w:r>
        <w:rPr>
          <w:bCs/>
          <w:lang w:val="en-US"/>
        </w:rPr>
        <w:t xml:space="preserve"> (2.8</w:t>
      </w:r>
      <w:r w:rsidR="00E054E8">
        <w:rPr>
          <w:bCs/>
          <w:lang w:val="en-US"/>
        </w:rPr>
        <w:t xml:space="preserve"> </w:t>
      </w:r>
      <w:r>
        <w:rPr>
          <w:bCs/>
          <w:lang w:val="en-US"/>
        </w:rPr>
        <w:t>ml/m</w:t>
      </w:r>
      <w:r w:rsidRPr="00DE5404">
        <w:rPr>
          <w:bCs/>
          <w:vertAlign w:val="superscript"/>
          <w:lang w:val="en-US"/>
        </w:rPr>
        <w:t>2</w:t>
      </w:r>
      <w:r>
        <w:rPr>
          <w:bCs/>
          <w:lang w:val="en-US"/>
        </w:rPr>
        <w:t>)</w:t>
      </w:r>
      <w:r w:rsidR="0048629B">
        <w:rPr>
          <w:bCs/>
          <w:lang w:val="en-US"/>
        </w:rPr>
        <w:t xml:space="preserve"> </w:t>
      </w:r>
    </w:p>
    <w:p w14:paraId="32FDFCB2" w14:textId="77777777" w:rsidR="009F6731" w:rsidRDefault="009F6731" w:rsidP="009F6731">
      <w:pPr>
        <w:spacing w:after="0"/>
        <w:rPr>
          <w:bCs/>
          <w:lang w:val="en-US"/>
        </w:rPr>
      </w:pPr>
    </w:p>
    <w:p w14:paraId="0089695A" w14:textId="2D09F269" w:rsidR="002644EF" w:rsidRDefault="00125D71">
      <w:pPr>
        <w:rPr>
          <w:bCs/>
          <w:lang w:val="en-US"/>
        </w:rPr>
      </w:pPr>
      <w:r>
        <w:rPr>
          <w:bCs/>
          <w:lang w:val="en-US"/>
        </w:rPr>
        <w:t>Treatment solutions were applied at a rate 100</w:t>
      </w:r>
      <w:r w:rsidR="009F6731">
        <w:rPr>
          <w:bCs/>
          <w:lang w:val="en-US"/>
        </w:rPr>
        <w:t xml:space="preserve"> </w:t>
      </w:r>
      <w:r>
        <w:rPr>
          <w:bCs/>
          <w:lang w:val="en-US"/>
        </w:rPr>
        <w:t>ml per pot</w:t>
      </w:r>
      <w:r w:rsidR="00C65F69">
        <w:rPr>
          <w:bCs/>
          <w:lang w:val="en-US"/>
        </w:rPr>
        <w:t xml:space="preserve"> when the growing substrate was beginning to dry.</w:t>
      </w:r>
      <w:r>
        <w:rPr>
          <w:bCs/>
          <w:lang w:val="en-US"/>
        </w:rPr>
        <w:t xml:space="preserve"> The untreated pots received </w:t>
      </w:r>
      <w:r w:rsidR="00C65F69">
        <w:rPr>
          <w:bCs/>
          <w:lang w:val="en-US"/>
        </w:rPr>
        <w:t xml:space="preserve">an equivalent volume of </w:t>
      </w:r>
      <w:r>
        <w:rPr>
          <w:bCs/>
          <w:lang w:val="en-US"/>
        </w:rPr>
        <w:t xml:space="preserve">plain water. </w:t>
      </w:r>
      <w:r w:rsidR="00355EC8">
        <w:rPr>
          <w:bCs/>
          <w:lang w:val="en-US"/>
        </w:rPr>
        <w:t xml:space="preserve">The target rates were in line with the recommended </w:t>
      </w:r>
      <w:r w:rsidR="000C5F5B">
        <w:rPr>
          <w:bCs/>
          <w:lang w:val="en-US"/>
        </w:rPr>
        <w:t>rates:</w:t>
      </w:r>
      <w:r w:rsidR="00355EC8">
        <w:rPr>
          <w:bCs/>
          <w:lang w:val="en-US"/>
        </w:rPr>
        <w:t xml:space="preserve"> </w:t>
      </w:r>
      <w:proofErr w:type="spellStart"/>
      <w:r w:rsidR="00355EC8">
        <w:rPr>
          <w:bCs/>
          <w:lang w:val="en-US"/>
        </w:rPr>
        <w:t>Trianum</w:t>
      </w:r>
      <w:proofErr w:type="spellEnd"/>
      <w:r w:rsidR="00355EC8">
        <w:rPr>
          <w:bCs/>
          <w:lang w:val="en-US"/>
        </w:rPr>
        <w:t xml:space="preserve">-P </w:t>
      </w:r>
      <w:r w:rsidR="005A58A0">
        <w:rPr>
          <w:bCs/>
          <w:lang w:val="en-US"/>
        </w:rPr>
        <w:t>–</w:t>
      </w:r>
      <w:r w:rsidR="00355EC8">
        <w:rPr>
          <w:bCs/>
          <w:lang w:val="en-US"/>
        </w:rPr>
        <w:t xml:space="preserve"> 15</w:t>
      </w:r>
      <w:r w:rsidR="005A58A0">
        <w:rPr>
          <w:bCs/>
          <w:lang w:val="en-US"/>
        </w:rPr>
        <w:t xml:space="preserve"> </w:t>
      </w:r>
      <w:r w:rsidR="00355EC8">
        <w:rPr>
          <w:bCs/>
          <w:lang w:val="en-US"/>
        </w:rPr>
        <w:t xml:space="preserve">g/1000 pots, Parva </w:t>
      </w:r>
      <w:r w:rsidR="005A58A0">
        <w:rPr>
          <w:bCs/>
          <w:lang w:val="en-US"/>
        </w:rPr>
        <w:t>–</w:t>
      </w:r>
      <w:r w:rsidR="00355EC8">
        <w:rPr>
          <w:bCs/>
          <w:lang w:val="en-US"/>
        </w:rPr>
        <w:t xml:space="preserve"> 3</w:t>
      </w:r>
      <w:r w:rsidR="005A58A0">
        <w:rPr>
          <w:bCs/>
          <w:lang w:val="en-US"/>
        </w:rPr>
        <w:t xml:space="preserve"> l</w:t>
      </w:r>
      <w:r w:rsidR="00355EC8">
        <w:rPr>
          <w:bCs/>
          <w:lang w:val="en-US"/>
        </w:rPr>
        <w:t xml:space="preserve">/ha, </w:t>
      </w:r>
      <w:proofErr w:type="spellStart"/>
      <w:r w:rsidR="00355EC8">
        <w:rPr>
          <w:bCs/>
          <w:lang w:val="en-US"/>
        </w:rPr>
        <w:t>Fortafol</w:t>
      </w:r>
      <w:proofErr w:type="spellEnd"/>
      <w:r w:rsidR="00355EC8">
        <w:rPr>
          <w:bCs/>
          <w:lang w:val="en-US"/>
        </w:rPr>
        <w:t xml:space="preserve"> – 3</w:t>
      </w:r>
      <w:r w:rsidR="005A58A0">
        <w:rPr>
          <w:bCs/>
          <w:lang w:val="en-US"/>
        </w:rPr>
        <w:t xml:space="preserve"> l</w:t>
      </w:r>
      <w:r w:rsidR="00355EC8">
        <w:rPr>
          <w:bCs/>
          <w:lang w:val="en-US"/>
        </w:rPr>
        <w:t>/ha. The trial product M149 was also applied at the rate of 15</w:t>
      </w:r>
      <w:r w:rsidR="005A58A0">
        <w:rPr>
          <w:bCs/>
          <w:lang w:val="en-US"/>
        </w:rPr>
        <w:t xml:space="preserve"> </w:t>
      </w:r>
      <w:r w:rsidR="00355EC8">
        <w:rPr>
          <w:bCs/>
          <w:lang w:val="en-US"/>
        </w:rPr>
        <w:t>g/1000 pots.</w:t>
      </w:r>
    </w:p>
    <w:p w14:paraId="2FB3D526" w14:textId="3C1C7459" w:rsidR="00F15C5F" w:rsidRDefault="00BE7D75">
      <w:pPr>
        <w:rPr>
          <w:bCs/>
          <w:lang w:val="en-US"/>
        </w:rPr>
      </w:pPr>
      <w:r w:rsidRPr="00BE7D75">
        <w:rPr>
          <w:bCs/>
          <w:lang w:val="en-US"/>
        </w:rPr>
        <w:t xml:space="preserve">A. </w:t>
      </w:r>
      <w:r w:rsidR="00EA5F88" w:rsidRPr="0001555A">
        <w:rPr>
          <w:bCs/>
          <w:i/>
          <w:iCs/>
          <w:lang w:val="en-US"/>
        </w:rPr>
        <w:t>Ceanothus</w:t>
      </w:r>
      <w:r w:rsidR="0001555A" w:rsidRPr="0001555A">
        <w:rPr>
          <w:bCs/>
          <w:i/>
          <w:iCs/>
          <w:lang w:val="en-US"/>
        </w:rPr>
        <w:t xml:space="preserve"> </w:t>
      </w:r>
      <w:proofErr w:type="spellStart"/>
      <w:r w:rsidR="0001555A" w:rsidRPr="0001555A">
        <w:rPr>
          <w:bCs/>
          <w:i/>
          <w:iCs/>
          <w:lang w:val="en-US"/>
        </w:rPr>
        <w:t>repens</w:t>
      </w:r>
      <w:proofErr w:type="spellEnd"/>
      <w:r w:rsidR="00EA5F88">
        <w:rPr>
          <w:bCs/>
          <w:lang w:val="en-US"/>
        </w:rPr>
        <w:t xml:space="preserve">: </w:t>
      </w:r>
      <w:r w:rsidR="00445893">
        <w:rPr>
          <w:bCs/>
          <w:lang w:val="en-US"/>
        </w:rPr>
        <w:t xml:space="preserve">The </w:t>
      </w:r>
      <w:r w:rsidR="00EA5F88">
        <w:rPr>
          <w:bCs/>
          <w:lang w:val="en-US"/>
        </w:rPr>
        <w:t>as</w:t>
      </w:r>
      <w:r w:rsidR="00710E67">
        <w:rPr>
          <w:bCs/>
          <w:lang w:val="en-US"/>
        </w:rPr>
        <w:t xml:space="preserve">sessments carried out on </w:t>
      </w:r>
      <w:r w:rsidR="00445893">
        <w:rPr>
          <w:bCs/>
          <w:lang w:val="en-US"/>
        </w:rPr>
        <w:t xml:space="preserve">the </w:t>
      </w:r>
      <w:r w:rsidR="00710E67">
        <w:rPr>
          <w:bCs/>
          <w:lang w:val="en-US"/>
        </w:rPr>
        <w:t>8</w:t>
      </w:r>
      <w:r w:rsidR="00710E67" w:rsidRPr="00710E67">
        <w:rPr>
          <w:bCs/>
          <w:vertAlign w:val="superscript"/>
          <w:lang w:val="en-US"/>
        </w:rPr>
        <w:t>th</w:t>
      </w:r>
      <w:r w:rsidR="00710E67">
        <w:rPr>
          <w:bCs/>
          <w:lang w:val="en-US"/>
        </w:rPr>
        <w:t xml:space="preserve"> May </w:t>
      </w:r>
      <w:r w:rsidR="00445893">
        <w:rPr>
          <w:bCs/>
          <w:lang w:val="en-US"/>
        </w:rPr>
        <w:t>(3</w:t>
      </w:r>
      <w:r w:rsidR="0016727D">
        <w:rPr>
          <w:bCs/>
          <w:lang w:val="en-US"/>
        </w:rPr>
        <w:t>7</w:t>
      </w:r>
      <w:r w:rsidR="003D1AA1">
        <w:rPr>
          <w:bCs/>
          <w:lang w:val="en-US"/>
        </w:rPr>
        <w:t xml:space="preserve"> days after the first treatment) </w:t>
      </w:r>
      <w:r w:rsidR="00710E67">
        <w:rPr>
          <w:bCs/>
          <w:lang w:val="en-US"/>
        </w:rPr>
        <w:t xml:space="preserve">identified </w:t>
      </w:r>
      <w:proofErr w:type="gramStart"/>
      <w:r w:rsidR="00710E67">
        <w:rPr>
          <w:bCs/>
          <w:lang w:val="en-US"/>
        </w:rPr>
        <w:t>a number of</w:t>
      </w:r>
      <w:proofErr w:type="gramEnd"/>
      <w:r w:rsidR="00710E67">
        <w:rPr>
          <w:bCs/>
          <w:lang w:val="en-US"/>
        </w:rPr>
        <w:t xml:space="preserve"> growth differences. </w:t>
      </w:r>
      <w:r w:rsidR="00015D2F" w:rsidRPr="00015D2F">
        <w:rPr>
          <w:bCs/>
          <w:lang w:val="en-US"/>
        </w:rPr>
        <w:t>There was a statistically significant (P=0.05) increase in the mean lateral length produced in Fortafol</w:t>
      </w:r>
      <w:r w:rsidR="00592BA5">
        <w:rPr>
          <w:bCs/>
          <w:lang w:val="en-US"/>
        </w:rPr>
        <w:t>-</w:t>
      </w:r>
      <w:r w:rsidR="00015D2F" w:rsidRPr="00015D2F">
        <w:rPr>
          <w:bCs/>
          <w:lang w:val="en-US"/>
        </w:rPr>
        <w:t xml:space="preserve">treated </w:t>
      </w:r>
      <w:r w:rsidR="00015D2F" w:rsidRPr="0001555A">
        <w:rPr>
          <w:bCs/>
          <w:i/>
          <w:iCs/>
          <w:lang w:val="en-US"/>
        </w:rPr>
        <w:t>Ceanothus</w:t>
      </w:r>
      <w:r w:rsidR="00015D2F" w:rsidRPr="00015D2F">
        <w:rPr>
          <w:bCs/>
          <w:lang w:val="en-US"/>
        </w:rPr>
        <w:t xml:space="preserve"> plant</w:t>
      </w:r>
      <w:r w:rsidR="00D271EA">
        <w:rPr>
          <w:bCs/>
          <w:lang w:val="en-US"/>
        </w:rPr>
        <w:t>s</w:t>
      </w:r>
      <w:r w:rsidR="00015D2F" w:rsidRPr="00015D2F">
        <w:rPr>
          <w:bCs/>
          <w:lang w:val="en-US"/>
        </w:rPr>
        <w:t xml:space="preserve">, when compared with the </w:t>
      </w:r>
      <w:proofErr w:type="spellStart"/>
      <w:r w:rsidR="00E14543">
        <w:rPr>
          <w:bCs/>
          <w:lang w:val="en-US"/>
        </w:rPr>
        <w:t>Vidi</w:t>
      </w:r>
      <w:proofErr w:type="spellEnd"/>
      <w:r w:rsidR="00E14543">
        <w:rPr>
          <w:bCs/>
          <w:lang w:val="en-US"/>
        </w:rPr>
        <w:t xml:space="preserve"> </w:t>
      </w:r>
      <w:r w:rsidR="00015D2F" w:rsidRPr="00015D2F">
        <w:rPr>
          <w:bCs/>
          <w:lang w:val="en-US"/>
        </w:rPr>
        <w:t xml:space="preserve">Parva and </w:t>
      </w:r>
      <w:r w:rsidR="00E14543">
        <w:rPr>
          <w:bCs/>
          <w:lang w:val="en-US"/>
        </w:rPr>
        <w:t>wa</w:t>
      </w:r>
      <w:r w:rsidR="00015D2F" w:rsidRPr="00015D2F">
        <w:rPr>
          <w:bCs/>
          <w:lang w:val="en-US"/>
        </w:rPr>
        <w:t>ter treatments</w:t>
      </w:r>
      <w:r w:rsidR="00E14543">
        <w:rPr>
          <w:bCs/>
          <w:lang w:val="en-US"/>
        </w:rPr>
        <w:t>,</w:t>
      </w:r>
      <w:r w:rsidR="00D271EA">
        <w:rPr>
          <w:bCs/>
          <w:lang w:val="en-US"/>
        </w:rPr>
        <w:t xml:space="preserve"> but not </w:t>
      </w:r>
      <w:proofErr w:type="spellStart"/>
      <w:r w:rsidR="00D271EA">
        <w:rPr>
          <w:bCs/>
          <w:lang w:val="en-US"/>
        </w:rPr>
        <w:t>Trianum</w:t>
      </w:r>
      <w:proofErr w:type="spellEnd"/>
      <w:r w:rsidR="0017604C">
        <w:rPr>
          <w:bCs/>
          <w:lang w:val="en-US"/>
        </w:rPr>
        <w:t>-P solo</w:t>
      </w:r>
      <w:r w:rsidR="00E14543">
        <w:rPr>
          <w:bCs/>
          <w:lang w:val="en-US"/>
        </w:rPr>
        <w:t>,</w:t>
      </w:r>
      <w:r w:rsidR="00D271EA">
        <w:rPr>
          <w:bCs/>
          <w:lang w:val="en-US"/>
        </w:rPr>
        <w:t xml:space="preserve"> or M149 solo</w:t>
      </w:r>
      <w:r w:rsidR="00E14543">
        <w:rPr>
          <w:bCs/>
          <w:lang w:val="en-US"/>
        </w:rPr>
        <w:t>,</w:t>
      </w:r>
      <w:r w:rsidR="00D271EA">
        <w:rPr>
          <w:bCs/>
          <w:lang w:val="en-US"/>
        </w:rPr>
        <w:t xml:space="preserve"> or combination treatments</w:t>
      </w:r>
      <w:r w:rsidR="00015D2F" w:rsidRPr="00015D2F">
        <w:rPr>
          <w:bCs/>
          <w:lang w:val="en-US"/>
        </w:rPr>
        <w:t xml:space="preserve">. </w:t>
      </w:r>
      <w:r w:rsidR="00592BA5">
        <w:rPr>
          <w:bCs/>
          <w:lang w:val="en-US"/>
        </w:rPr>
        <w:t>T</w:t>
      </w:r>
      <w:r w:rsidR="002261DF">
        <w:rPr>
          <w:bCs/>
          <w:lang w:val="en-US"/>
        </w:rPr>
        <w:t>he</w:t>
      </w:r>
      <w:r w:rsidR="0017604C">
        <w:rPr>
          <w:bCs/>
          <w:lang w:val="en-US"/>
        </w:rPr>
        <w:t>re was no</w:t>
      </w:r>
      <w:r w:rsidR="002261DF">
        <w:rPr>
          <w:bCs/>
          <w:lang w:val="en-US"/>
        </w:rPr>
        <w:t xml:space="preserve"> </w:t>
      </w:r>
      <w:r w:rsidR="0017604C">
        <w:rPr>
          <w:bCs/>
          <w:lang w:val="en-US"/>
        </w:rPr>
        <w:t xml:space="preserve">difference (P=0.05) between the </w:t>
      </w:r>
      <w:r w:rsidR="002261DF">
        <w:rPr>
          <w:bCs/>
          <w:lang w:val="en-US"/>
        </w:rPr>
        <w:t>number of</w:t>
      </w:r>
      <w:r w:rsidR="00015D2F">
        <w:rPr>
          <w:bCs/>
          <w:lang w:val="en-US"/>
        </w:rPr>
        <w:t xml:space="preserve"> lateral shoots produced</w:t>
      </w:r>
      <w:r w:rsidR="0017604C">
        <w:rPr>
          <w:bCs/>
          <w:lang w:val="en-US"/>
        </w:rPr>
        <w:t xml:space="preserve"> in all treatments. </w:t>
      </w:r>
      <w:r w:rsidR="00EA5F88">
        <w:rPr>
          <w:bCs/>
          <w:lang w:val="en-US"/>
        </w:rPr>
        <w:t>On the 11</w:t>
      </w:r>
      <w:r w:rsidR="00EA5F88" w:rsidRPr="00EA5F88">
        <w:rPr>
          <w:bCs/>
          <w:vertAlign w:val="superscript"/>
          <w:lang w:val="en-US"/>
        </w:rPr>
        <w:t>th</w:t>
      </w:r>
      <w:r w:rsidR="00EA5F88">
        <w:rPr>
          <w:bCs/>
          <w:lang w:val="en-US"/>
        </w:rPr>
        <w:t xml:space="preserve"> May (41</w:t>
      </w:r>
      <w:r w:rsidR="00C63B0E">
        <w:rPr>
          <w:bCs/>
          <w:lang w:val="en-US"/>
        </w:rPr>
        <w:t xml:space="preserve"> days after the first treatment) </w:t>
      </w:r>
      <w:r w:rsidR="00CA3E04">
        <w:rPr>
          <w:bCs/>
          <w:lang w:val="en-US"/>
        </w:rPr>
        <w:t xml:space="preserve">there were </w:t>
      </w:r>
      <w:r w:rsidR="00F15C5F">
        <w:rPr>
          <w:bCs/>
          <w:lang w:val="en-US"/>
        </w:rPr>
        <w:t xml:space="preserve">72%, 44.4%, </w:t>
      </w:r>
      <w:r w:rsidR="00FB2AD6">
        <w:rPr>
          <w:bCs/>
          <w:lang w:val="en-US"/>
        </w:rPr>
        <w:t xml:space="preserve">33.3%, 27.8%, 27.8% and 27.8% </w:t>
      </w:r>
      <w:r w:rsidR="00CA3E04">
        <w:rPr>
          <w:bCs/>
          <w:lang w:val="en-US"/>
        </w:rPr>
        <w:t xml:space="preserve">fewer </w:t>
      </w:r>
      <w:r w:rsidR="00EA5F88">
        <w:rPr>
          <w:bCs/>
          <w:lang w:val="en-US"/>
        </w:rPr>
        <w:t xml:space="preserve">open flower heads </w:t>
      </w:r>
      <w:r w:rsidR="00F15C5F">
        <w:rPr>
          <w:bCs/>
          <w:lang w:val="en-US"/>
        </w:rPr>
        <w:t xml:space="preserve">in the </w:t>
      </w:r>
      <w:proofErr w:type="spellStart"/>
      <w:r w:rsidR="00EA5F88">
        <w:rPr>
          <w:bCs/>
          <w:lang w:val="en-US"/>
        </w:rPr>
        <w:t>Trianum</w:t>
      </w:r>
      <w:proofErr w:type="spellEnd"/>
      <w:r w:rsidR="00EA5F88">
        <w:rPr>
          <w:bCs/>
          <w:lang w:val="en-US"/>
        </w:rPr>
        <w:t>-P</w:t>
      </w:r>
      <w:r w:rsidR="00F15C5F">
        <w:rPr>
          <w:bCs/>
          <w:lang w:val="en-US"/>
        </w:rPr>
        <w:t xml:space="preserve">, </w:t>
      </w:r>
      <w:proofErr w:type="spellStart"/>
      <w:r w:rsidR="00F15C5F">
        <w:rPr>
          <w:bCs/>
          <w:lang w:val="en-US"/>
        </w:rPr>
        <w:t>Fortafol</w:t>
      </w:r>
      <w:proofErr w:type="spellEnd"/>
      <w:r w:rsidR="00F15C5F">
        <w:rPr>
          <w:bCs/>
          <w:lang w:val="en-US"/>
        </w:rPr>
        <w:t xml:space="preserve">, M149, </w:t>
      </w:r>
      <w:proofErr w:type="spellStart"/>
      <w:r w:rsidR="00E14543">
        <w:rPr>
          <w:bCs/>
          <w:lang w:val="en-US"/>
        </w:rPr>
        <w:t>Vidi</w:t>
      </w:r>
      <w:proofErr w:type="spellEnd"/>
      <w:r w:rsidR="00E14543">
        <w:rPr>
          <w:bCs/>
          <w:lang w:val="en-US"/>
        </w:rPr>
        <w:t xml:space="preserve"> </w:t>
      </w:r>
      <w:r w:rsidR="00F15C5F">
        <w:rPr>
          <w:bCs/>
          <w:lang w:val="en-US"/>
        </w:rPr>
        <w:t xml:space="preserve">Parva, </w:t>
      </w:r>
      <w:proofErr w:type="spellStart"/>
      <w:r w:rsidR="00F15C5F">
        <w:rPr>
          <w:bCs/>
          <w:lang w:val="en-US"/>
        </w:rPr>
        <w:t>Trianum</w:t>
      </w:r>
      <w:proofErr w:type="spellEnd"/>
      <w:r w:rsidR="00EA3F29">
        <w:rPr>
          <w:bCs/>
          <w:lang w:val="en-US"/>
        </w:rPr>
        <w:t>-P</w:t>
      </w:r>
      <w:r w:rsidR="00F15C5F">
        <w:rPr>
          <w:bCs/>
          <w:lang w:val="en-US"/>
        </w:rPr>
        <w:t xml:space="preserve">+ </w:t>
      </w:r>
      <w:proofErr w:type="spellStart"/>
      <w:r w:rsidR="00E14543">
        <w:rPr>
          <w:bCs/>
          <w:lang w:val="en-US"/>
        </w:rPr>
        <w:t>Vidi</w:t>
      </w:r>
      <w:proofErr w:type="spellEnd"/>
      <w:r w:rsidR="00E14543">
        <w:rPr>
          <w:bCs/>
          <w:lang w:val="en-US"/>
        </w:rPr>
        <w:t xml:space="preserve"> </w:t>
      </w:r>
      <w:r w:rsidR="00F15C5F">
        <w:rPr>
          <w:bCs/>
          <w:lang w:val="en-US"/>
        </w:rPr>
        <w:t xml:space="preserve">Parva and M149 + </w:t>
      </w:r>
      <w:proofErr w:type="spellStart"/>
      <w:r w:rsidR="00E14543">
        <w:rPr>
          <w:bCs/>
          <w:lang w:val="en-US"/>
        </w:rPr>
        <w:t>Vidi</w:t>
      </w:r>
      <w:proofErr w:type="spellEnd"/>
      <w:r w:rsidR="00E14543">
        <w:rPr>
          <w:bCs/>
          <w:lang w:val="en-US"/>
        </w:rPr>
        <w:t xml:space="preserve"> </w:t>
      </w:r>
      <w:r w:rsidR="00F15C5F">
        <w:rPr>
          <w:bCs/>
          <w:lang w:val="en-US"/>
        </w:rPr>
        <w:t xml:space="preserve">Parva </w:t>
      </w:r>
      <w:r w:rsidR="00592BA5">
        <w:rPr>
          <w:bCs/>
          <w:lang w:val="en-US"/>
        </w:rPr>
        <w:t xml:space="preserve">treatments </w:t>
      </w:r>
      <w:r w:rsidR="00F15C5F">
        <w:rPr>
          <w:bCs/>
          <w:lang w:val="en-US"/>
        </w:rPr>
        <w:t>respectively</w:t>
      </w:r>
      <w:r w:rsidR="00592BA5">
        <w:rPr>
          <w:bCs/>
          <w:lang w:val="en-US"/>
        </w:rPr>
        <w:t xml:space="preserve">, compared to the control. </w:t>
      </w:r>
      <w:r w:rsidR="00DA4F59">
        <w:rPr>
          <w:bCs/>
          <w:lang w:val="en-US"/>
        </w:rPr>
        <w:t>On 7</w:t>
      </w:r>
      <w:r w:rsidR="00DA4F59" w:rsidRPr="00DA4F59">
        <w:rPr>
          <w:bCs/>
          <w:vertAlign w:val="superscript"/>
          <w:lang w:val="en-US"/>
        </w:rPr>
        <w:t>th</w:t>
      </w:r>
      <w:r w:rsidR="00DA4F59">
        <w:rPr>
          <w:bCs/>
          <w:lang w:val="en-US"/>
        </w:rPr>
        <w:t xml:space="preserve"> June the </w:t>
      </w:r>
      <w:r w:rsidR="005D5227">
        <w:rPr>
          <w:bCs/>
          <w:lang w:val="en-US"/>
        </w:rPr>
        <w:t xml:space="preserve">Trianum-P treated plants were rated as being the best quality (based on leaf colour, number and leaf area), having the best shape (good branching; moderate gap between leaves) and having the greatest amount of spring growth overall (plant height, vegetative growth). </w:t>
      </w:r>
    </w:p>
    <w:p w14:paraId="0A94C4E0" w14:textId="1E3CA796" w:rsidR="003F14C1" w:rsidRDefault="00BE7D75">
      <w:pPr>
        <w:rPr>
          <w:bCs/>
          <w:lang w:val="en-US"/>
        </w:rPr>
      </w:pPr>
      <w:r w:rsidRPr="00BE7D75">
        <w:rPr>
          <w:bCs/>
          <w:lang w:val="en-US"/>
        </w:rPr>
        <w:t xml:space="preserve">B. </w:t>
      </w:r>
      <w:r w:rsidR="008213D1">
        <w:rPr>
          <w:i/>
        </w:rPr>
        <w:t>Hebe</w:t>
      </w:r>
      <w:r w:rsidR="008213D1">
        <w:t xml:space="preserve"> x </w:t>
      </w:r>
      <w:proofErr w:type="spellStart"/>
      <w:r w:rsidR="008213D1">
        <w:rPr>
          <w:i/>
        </w:rPr>
        <w:t>andersonii</w:t>
      </w:r>
      <w:proofErr w:type="spellEnd"/>
      <w:r w:rsidR="008213D1">
        <w:t xml:space="preserve"> ‘</w:t>
      </w:r>
      <w:proofErr w:type="spellStart"/>
      <w:r w:rsidR="008213D1">
        <w:t>Variegata</w:t>
      </w:r>
      <w:proofErr w:type="spellEnd"/>
      <w:r w:rsidR="008213D1">
        <w:t>’</w:t>
      </w:r>
      <w:r w:rsidR="003F14C1">
        <w:rPr>
          <w:bCs/>
          <w:lang w:val="en-US"/>
        </w:rPr>
        <w:t xml:space="preserve">: There were significantly more shoots produced in the Trianum-treated </w:t>
      </w:r>
      <w:r w:rsidR="003F14C1" w:rsidRPr="006117B6">
        <w:rPr>
          <w:bCs/>
          <w:i/>
          <w:iCs/>
          <w:lang w:val="en-US"/>
        </w:rPr>
        <w:t>Hebe</w:t>
      </w:r>
      <w:r w:rsidR="003F14C1">
        <w:rPr>
          <w:bCs/>
          <w:lang w:val="en-US"/>
        </w:rPr>
        <w:t xml:space="preserve"> plants compared with the untreated control at the 5% probability level. There were no significant differences between all other paired treatment means.</w:t>
      </w:r>
      <w:r w:rsidR="00594836">
        <w:rPr>
          <w:bCs/>
          <w:lang w:val="en-US"/>
        </w:rPr>
        <w:t xml:space="preserve"> </w:t>
      </w:r>
      <w:bookmarkStart w:id="3" w:name="_Hlk13003558"/>
      <w:r w:rsidR="0016727D">
        <w:rPr>
          <w:bCs/>
          <w:lang w:val="en-US"/>
        </w:rPr>
        <w:t>An assessment of root growth was carried out on the 12</w:t>
      </w:r>
      <w:r w:rsidR="0016727D" w:rsidRPr="0016727D">
        <w:rPr>
          <w:bCs/>
          <w:vertAlign w:val="superscript"/>
          <w:lang w:val="en-US"/>
        </w:rPr>
        <w:t>th</w:t>
      </w:r>
      <w:r w:rsidR="0016727D">
        <w:rPr>
          <w:bCs/>
          <w:lang w:val="en-US"/>
        </w:rPr>
        <w:t xml:space="preserve"> May (41</w:t>
      </w:r>
      <w:r w:rsidR="00C63B0E">
        <w:rPr>
          <w:bCs/>
          <w:lang w:val="en-US"/>
        </w:rPr>
        <w:t xml:space="preserve"> days after the first treatment</w:t>
      </w:r>
      <w:r w:rsidR="0016727D">
        <w:rPr>
          <w:bCs/>
          <w:lang w:val="en-US"/>
        </w:rPr>
        <w:t>). Compared to the untreated plants, the greatest root biomass was produced in the Trianum-P + Vidi Parva and M149 + Vidi Parva treated plants.</w:t>
      </w:r>
      <w:bookmarkEnd w:id="3"/>
      <w:r w:rsidR="0016727D">
        <w:rPr>
          <w:bCs/>
          <w:lang w:val="en-US"/>
        </w:rPr>
        <w:t xml:space="preserve"> These treatments also produced the healthiest looking roots. Blackened disease-infected roots were </w:t>
      </w:r>
      <w:r w:rsidR="00192557">
        <w:rPr>
          <w:bCs/>
          <w:lang w:val="en-US"/>
        </w:rPr>
        <w:t xml:space="preserve">present in all treatments with the lowest incidence in </w:t>
      </w:r>
      <w:proofErr w:type="spellStart"/>
      <w:r w:rsidR="00192557">
        <w:rPr>
          <w:bCs/>
          <w:lang w:val="en-US"/>
        </w:rPr>
        <w:t>Trianum</w:t>
      </w:r>
      <w:proofErr w:type="spellEnd"/>
      <w:r w:rsidR="00192557">
        <w:rPr>
          <w:bCs/>
          <w:lang w:val="en-US"/>
        </w:rPr>
        <w:t xml:space="preserve">-P + </w:t>
      </w:r>
      <w:proofErr w:type="spellStart"/>
      <w:r w:rsidR="00192557">
        <w:rPr>
          <w:bCs/>
          <w:lang w:val="en-US"/>
        </w:rPr>
        <w:t>Vidi</w:t>
      </w:r>
      <w:proofErr w:type="spellEnd"/>
      <w:r w:rsidR="00192557">
        <w:rPr>
          <w:bCs/>
          <w:lang w:val="en-US"/>
        </w:rPr>
        <w:t xml:space="preserve"> Parva and </w:t>
      </w:r>
      <w:proofErr w:type="spellStart"/>
      <w:r w:rsidR="00192557">
        <w:rPr>
          <w:bCs/>
          <w:lang w:val="en-US"/>
        </w:rPr>
        <w:t>Trianum</w:t>
      </w:r>
      <w:proofErr w:type="spellEnd"/>
      <w:r w:rsidR="00192557">
        <w:rPr>
          <w:bCs/>
          <w:lang w:val="en-US"/>
        </w:rPr>
        <w:t>-P solo treated plants</w:t>
      </w:r>
      <w:r w:rsidR="0016727D">
        <w:rPr>
          <w:bCs/>
          <w:lang w:val="en-US"/>
        </w:rPr>
        <w:t xml:space="preserve">. </w:t>
      </w:r>
      <w:r w:rsidR="004B401A">
        <w:rPr>
          <w:bCs/>
          <w:lang w:val="en-US"/>
        </w:rPr>
        <w:t xml:space="preserve">Root lateral branching occurred in all </w:t>
      </w:r>
      <w:proofErr w:type="spellStart"/>
      <w:r w:rsidR="004B401A">
        <w:rPr>
          <w:bCs/>
          <w:lang w:val="en-US"/>
        </w:rPr>
        <w:t>Vidi</w:t>
      </w:r>
      <w:proofErr w:type="spellEnd"/>
      <w:r w:rsidR="004B401A">
        <w:rPr>
          <w:bCs/>
          <w:lang w:val="en-US"/>
        </w:rPr>
        <w:t xml:space="preserve"> Parva treatments (combinations and solo) and </w:t>
      </w:r>
      <w:proofErr w:type="spellStart"/>
      <w:r w:rsidR="004B401A">
        <w:rPr>
          <w:bCs/>
          <w:lang w:val="en-US"/>
        </w:rPr>
        <w:t>Trianum</w:t>
      </w:r>
      <w:proofErr w:type="spellEnd"/>
      <w:r w:rsidR="004B401A">
        <w:rPr>
          <w:bCs/>
          <w:lang w:val="en-US"/>
        </w:rPr>
        <w:t>-P solo</w:t>
      </w:r>
      <w:r w:rsidR="004D2E76">
        <w:rPr>
          <w:bCs/>
          <w:lang w:val="en-US"/>
        </w:rPr>
        <w:t xml:space="preserve"> treated roots, but lateral branching was low in </w:t>
      </w:r>
      <w:proofErr w:type="spellStart"/>
      <w:r w:rsidR="004D2E76">
        <w:rPr>
          <w:bCs/>
          <w:lang w:val="en-US"/>
        </w:rPr>
        <w:t>Fortafol</w:t>
      </w:r>
      <w:proofErr w:type="spellEnd"/>
      <w:r w:rsidR="004D2E76">
        <w:rPr>
          <w:bCs/>
          <w:lang w:val="en-US"/>
        </w:rPr>
        <w:t xml:space="preserve">, M149 and untreated plants. </w:t>
      </w:r>
    </w:p>
    <w:p w14:paraId="5A75C753" w14:textId="1E3C1585" w:rsidR="005B156E" w:rsidRDefault="00BE7D75">
      <w:pPr>
        <w:rPr>
          <w:bCs/>
          <w:lang w:val="en-US"/>
        </w:rPr>
      </w:pPr>
      <w:r w:rsidRPr="00BE7D75">
        <w:rPr>
          <w:bCs/>
          <w:lang w:val="en-US"/>
        </w:rPr>
        <w:t xml:space="preserve">C. </w:t>
      </w:r>
      <w:r w:rsidR="00386271" w:rsidRPr="008213D1">
        <w:rPr>
          <w:bCs/>
          <w:i/>
          <w:iCs/>
          <w:lang w:val="en-US"/>
        </w:rPr>
        <w:t>Deutzia</w:t>
      </w:r>
      <w:r w:rsidR="008213D1" w:rsidRPr="008213D1">
        <w:rPr>
          <w:bCs/>
          <w:i/>
          <w:iCs/>
          <w:lang w:val="en-US"/>
        </w:rPr>
        <w:t xml:space="preserve"> </w:t>
      </w:r>
      <w:proofErr w:type="spellStart"/>
      <w:r w:rsidR="008213D1" w:rsidRPr="008213D1">
        <w:rPr>
          <w:bCs/>
          <w:i/>
          <w:iCs/>
          <w:lang w:val="en-US"/>
        </w:rPr>
        <w:t>nikko</w:t>
      </w:r>
      <w:proofErr w:type="spellEnd"/>
      <w:r w:rsidR="00386271">
        <w:rPr>
          <w:bCs/>
          <w:lang w:val="en-US"/>
        </w:rPr>
        <w:t>:</w:t>
      </w:r>
      <w:r w:rsidR="00897986">
        <w:rPr>
          <w:bCs/>
          <w:lang w:val="en-US"/>
        </w:rPr>
        <w:t xml:space="preserve"> </w:t>
      </w:r>
      <w:r w:rsidR="0052385D">
        <w:rPr>
          <w:bCs/>
          <w:lang w:val="en-US"/>
        </w:rPr>
        <w:t xml:space="preserve">An assessment of root growth was carried out on the </w:t>
      </w:r>
      <w:r w:rsidR="00807D3E">
        <w:rPr>
          <w:bCs/>
          <w:lang w:val="en-US"/>
        </w:rPr>
        <w:t>9</w:t>
      </w:r>
      <w:r w:rsidR="00807D3E" w:rsidRPr="00807D3E">
        <w:rPr>
          <w:bCs/>
          <w:vertAlign w:val="superscript"/>
          <w:lang w:val="en-US"/>
        </w:rPr>
        <w:t>th</w:t>
      </w:r>
      <w:r w:rsidR="00807D3E">
        <w:rPr>
          <w:bCs/>
          <w:lang w:val="en-US"/>
        </w:rPr>
        <w:t xml:space="preserve"> June</w:t>
      </w:r>
      <w:r w:rsidR="0052385D">
        <w:rPr>
          <w:bCs/>
          <w:lang w:val="en-US"/>
        </w:rPr>
        <w:t xml:space="preserve"> (</w:t>
      </w:r>
      <w:r w:rsidR="00807D3E">
        <w:rPr>
          <w:bCs/>
          <w:lang w:val="en-US"/>
        </w:rPr>
        <w:t>69</w:t>
      </w:r>
      <w:r w:rsidR="002B4EBF">
        <w:rPr>
          <w:bCs/>
          <w:lang w:val="en-US"/>
        </w:rPr>
        <w:t xml:space="preserve"> days after the first treatment)</w:t>
      </w:r>
      <w:r w:rsidR="0052385D">
        <w:rPr>
          <w:bCs/>
          <w:lang w:val="en-US"/>
        </w:rPr>
        <w:t xml:space="preserve">. Compared to the untreated plants, the greatest root biomass </w:t>
      </w:r>
      <w:r w:rsidR="00BF2484">
        <w:rPr>
          <w:bCs/>
          <w:lang w:val="en-US"/>
        </w:rPr>
        <w:t xml:space="preserve">and best root quality </w:t>
      </w:r>
      <w:r w:rsidR="0052385D">
        <w:rPr>
          <w:bCs/>
          <w:lang w:val="en-US"/>
        </w:rPr>
        <w:t xml:space="preserve">was produced </w:t>
      </w:r>
      <w:r w:rsidR="00BF2484">
        <w:rPr>
          <w:bCs/>
          <w:lang w:val="en-US"/>
        </w:rPr>
        <w:t xml:space="preserve">by </w:t>
      </w:r>
      <w:r w:rsidR="0052385D">
        <w:rPr>
          <w:bCs/>
          <w:lang w:val="en-US"/>
        </w:rPr>
        <w:t xml:space="preserve">the </w:t>
      </w:r>
      <w:proofErr w:type="spellStart"/>
      <w:r w:rsidR="0052385D">
        <w:rPr>
          <w:bCs/>
          <w:lang w:val="en-US"/>
        </w:rPr>
        <w:t>Trianum</w:t>
      </w:r>
      <w:proofErr w:type="spellEnd"/>
      <w:r w:rsidR="0052385D">
        <w:rPr>
          <w:bCs/>
          <w:lang w:val="en-US"/>
        </w:rPr>
        <w:t xml:space="preserve">-P + </w:t>
      </w:r>
      <w:proofErr w:type="spellStart"/>
      <w:r w:rsidR="0052385D">
        <w:rPr>
          <w:bCs/>
          <w:lang w:val="en-US"/>
        </w:rPr>
        <w:t>Vidi</w:t>
      </w:r>
      <w:proofErr w:type="spellEnd"/>
      <w:r w:rsidR="0052385D">
        <w:rPr>
          <w:bCs/>
          <w:lang w:val="en-US"/>
        </w:rPr>
        <w:t xml:space="preserve"> Parva and </w:t>
      </w:r>
      <w:proofErr w:type="spellStart"/>
      <w:r w:rsidR="00807D3E">
        <w:rPr>
          <w:bCs/>
          <w:lang w:val="en-US"/>
        </w:rPr>
        <w:t>Trianum</w:t>
      </w:r>
      <w:proofErr w:type="spellEnd"/>
      <w:r w:rsidR="00807D3E">
        <w:rPr>
          <w:bCs/>
          <w:lang w:val="en-US"/>
        </w:rPr>
        <w:t>-P</w:t>
      </w:r>
      <w:r w:rsidR="0052385D">
        <w:rPr>
          <w:bCs/>
          <w:lang w:val="en-US"/>
        </w:rPr>
        <w:t xml:space="preserve"> treat</w:t>
      </w:r>
      <w:r w:rsidR="00BF2484">
        <w:rPr>
          <w:bCs/>
          <w:lang w:val="en-US"/>
        </w:rPr>
        <w:t>ments</w:t>
      </w:r>
      <w:r w:rsidR="0052385D">
        <w:rPr>
          <w:bCs/>
          <w:lang w:val="en-US"/>
        </w:rPr>
        <w:t>.</w:t>
      </w:r>
      <w:r w:rsidR="000C5F5B">
        <w:rPr>
          <w:bCs/>
          <w:lang w:val="en-US"/>
        </w:rPr>
        <w:t xml:space="preserve"> </w:t>
      </w:r>
    </w:p>
    <w:p w14:paraId="30FD833F" w14:textId="5B7196D2" w:rsidR="00B10880" w:rsidRPr="005B49A6" w:rsidRDefault="00B10880">
      <w:pPr>
        <w:rPr>
          <w:bCs/>
          <w:lang w:val="en-US"/>
        </w:rPr>
      </w:pPr>
      <w:r w:rsidRPr="00B10880">
        <w:rPr>
          <w:b/>
          <w:lang w:val="en-US"/>
        </w:rPr>
        <w:t>Conclusion</w:t>
      </w:r>
      <w:r w:rsidR="00A16A0C">
        <w:rPr>
          <w:b/>
          <w:lang w:val="en-US"/>
        </w:rPr>
        <w:t xml:space="preserve"> and discussion</w:t>
      </w:r>
    </w:p>
    <w:p w14:paraId="1D932AE8" w14:textId="67F00C4D" w:rsidR="00E83644" w:rsidRDefault="00EA64EB">
      <w:pPr>
        <w:rPr>
          <w:rFonts w:cstheme="minorHAnsi"/>
          <w:lang w:val="en-US"/>
        </w:rPr>
      </w:pPr>
      <w:r>
        <w:rPr>
          <w:lang w:val="en-US"/>
        </w:rPr>
        <w:t xml:space="preserve">The trials demonstrated that Trianum-P </w:t>
      </w:r>
      <w:r w:rsidR="00DF73CC">
        <w:rPr>
          <w:lang w:val="en-US"/>
        </w:rPr>
        <w:t>can stimulate</w:t>
      </w:r>
      <w:r>
        <w:rPr>
          <w:lang w:val="en-US"/>
        </w:rPr>
        <w:t xml:space="preserve"> the growth of different plant species</w:t>
      </w:r>
      <w:r w:rsidR="000547CA">
        <w:rPr>
          <w:lang w:val="en-US"/>
        </w:rPr>
        <w:t xml:space="preserve"> </w:t>
      </w:r>
      <w:r w:rsidR="00DF73CC">
        <w:rPr>
          <w:lang w:val="en-US"/>
        </w:rPr>
        <w:t xml:space="preserve">raised from </w:t>
      </w:r>
      <w:r w:rsidR="000547CA">
        <w:rPr>
          <w:lang w:val="en-US"/>
        </w:rPr>
        <w:t>seeds (</w:t>
      </w:r>
      <w:proofErr w:type="spellStart"/>
      <w:r w:rsidR="000547CA" w:rsidRPr="006116F7">
        <w:rPr>
          <w:i/>
          <w:iCs/>
          <w:lang w:val="en-US"/>
        </w:rPr>
        <w:t>Tagetes</w:t>
      </w:r>
      <w:proofErr w:type="spellEnd"/>
      <w:r w:rsidR="000547CA">
        <w:rPr>
          <w:lang w:val="en-US"/>
        </w:rPr>
        <w:t>), cuttings (</w:t>
      </w:r>
      <w:r w:rsidR="000547CA" w:rsidRPr="006116F7">
        <w:rPr>
          <w:i/>
          <w:iCs/>
          <w:lang w:val="en-US"/>
        </w:rPr>
        <w:t>La</w:t>
      </w:r>
      <w:r w:rsidR="00723831" w:rsidRPr="006116F7">
        <w:rPr>
          <w:i/>
          <w:iCs/>
          <w:lang w:val="en-US"/>
        </w:rPr>
        <w:t>v</w:t>
      </w:r>
      <w:r w:rsidR="000547CA" w:rsidRPr="006116F7">
        <w:rPr>
          <w:i/>
          <w:iCs/>
          <w:lang w:val="en-US"/>
        </w:rPr>
        <w:t>a</w:t>
      </w:r>
      <w:r w:rsidR="00723831" w:rsidRPr="006116F7">
        <w:rPr>
          <w:i/>
          <w:iCs/>
          <w:lang w:val="en-US"/>
        </w:rPr>
        <w:t>n</w:t>
      </w:r>
      <w:r w:rsidR="000547CA" w:rsidRPr="006116F7">
        <w:rPr>
          <w:i/>
          <w:iCs/>
          <w:lang w:val="en-US"/>
        </w:rPr>
        <w:t>dula</w:t>
      </w:r>
      <w:r w:rsidR="000547CA">
        <w:rPr>
          <w:lang w:val="en-US"/>
        </w:rPr>
        <w:t>) and plugs (</w:t>
      </w:r>
      <w:r w:rsidR="000547CA" w:rsidRPr="006116F7">
        <w:rPr>
          <w:i/>
          <w:iCs/>
          <w:lang w:val="en-US"/>
        </w:rPr>
        <w:t>Deutzia, Ceanothus and Hebe</w:t>
      </w:r>
      <w:r w:rsidR="000547CA">
        <w:rPr>
          <w:lang w:val="en-US"/>
        </w:rPr>
        <w:t>).</w:t>
      </w:r>
      <w:r>
        <w:rPr>
          <w:lang w:val="en-US"/>
        </w:rPr>
        <w:t xml:space="preserve"> The application of Vidi Parva as a tank mix partner can also contribute to growth and health improvement in </w:t>
      </w:r>
      <w:r w:rsidRPr="006116F7">
        <w:rPr>
          <w:i/>
          <w:iCs/>
          <w:lang w:val="en-US"/>
        </w:rPr>
        <w:t xml:space="preserve">Hebe, Deutzia </w:t>
      </w:r>
      <w:r w:rsidRPr="006116F7">
        <w:rPr>
          <w:lang w:val="en-US"/>
        </w:rPr>
        <w:t>and</w:t>
      </w:r>
      <w:r w:rsidRPr="006116F7">
        <w:rPr>
          <w:i/>
          <w:iCs/>
          <w:lang w:val="en-US"/>
        </w:rPr>
        <w:t xml:space="preserve"> Ceanothus</w:t>
      </w:r>
      <w:r>
        <w:rPr>
          <w:lang w:val="en-US"/>
        </w:rPr>
        <w:t>. This work provid</w:t>
      </w:r>
      <w:r w:rsidR="00DF73CC">
        <w:rPr>
          <w:lang w:val="en-US"/>
        </w:rPr>
        <w:t xml:space="preserve">ed some important evidence to support the </w:t>
      </w:r>
      <w:r>
        <w:rPr>
          <w:lang w:val="en-US"/>
        </w:rPr>
        <w:t xml:space="preserve">use of Trianum-P and Vidi Parva in </w:t>
      </w:r>
      <w:r w:rsidR="00B83869">
        <w:rPr>
          <w:lang w:val="en-US"/>
        </w:rPr>
        <w:t xml:space="preserve">future </w:t>
      </w:r>
      <w:r>
        <w:rPr>
          <w:lang w:val="en-US"/>
        </w:rPr>
        <w:t>nursery stock production</w:t>
      </w:r>
      <w:r w:rsidR="008B1709">
        <w:rPr>
          <w:lang w:val="en-US"/>
        </w:rPr>
        <w:t xml:space="preserve"> for plant growth and development and disease </w:t>
      </w:r>
      <w:r w:rsidR="008B1709">
        <w:rPr>
          <w:lang w:val="en-US"/>
        </w:rPr>
        <w:lastRenderedPageBreak/>
        <w:t>prevention purposes</w:t>
      </w:r>
      <w:r>
        <w:rPr>
          <w:lang w:val="en-US"/>
        </w:rPr>
        <w:t xml:space="preserve">. Vidi Parva </w:t>
      </w:r>
      <w:r w:rsidR="00DF73CC">
        <w:rPr>
          <w:lang w:val="en-US"/>
        </w:rPr>
        <w:t xml:space="preserve">yielded an increase in T22 growth in artificial culture suggesting that Trianum-P was able to </w:t>
      </w:r>
      <w:proofErr w:type="spellStart"/>
      <w:r w:rsidR="00DF73CC">
        <w:rPr>
          <w:lang w:val="en-US"/>
        </w:rPr>
        <w:t>utilise</w:t>
      </w:r>
      <w:proofErr w:type="spellEnd"/>
      <w:r w:rsidR="00DF73CC">
        <w:rPr>
          <w:lang w:val="en-US"/>
        </w:rPr>
        <w:t xml:space="preserve"> </w:t>
      </w:r>
      <w:proofErr w:type="spellStart"/>
      <w:r w:rsidR="00DF73CC">
        <w:rPr>
          <w:lang w:val="en-US"/>
        </w:rPr>
        <w:t>Vidi</w:t>
      </w:r>
      <w:proofErr w:type="spellEnd"/>
      <w:r w:rsidR="00DF73CC">
        <w:rPr>
          <w:lang w:val="en-US"/>
        </w:rPr>
        <w:t xml:space="preserve"> Parva as a source of nutrition. </w:t>
      </w:r>
      <w:r w:rsidR="00532325">
        <w:rPr>
          <w:lang w:val="en-US"/>
        </w:rPr>
        <w:t xml:space="preserve">The provision of high (specific) levels of nutrition </w:t>
      </w:r>
      <w:r w:rsidR="00107CA5">
        <w:rPr>
          <w:lang w:val="en-US"/>
        </w:rPr>
        <w:t xml:space="preserve">under natural growing conditions </w:t>
      </w:r>
      <w:r w:rsidR="00532325">
        <w:rPr>
          <w:lang w:val="en-US"/>
        </w:rPr>
        <w:t xml:space="preserve">could be important for the </w:t>
      </w:r>
      <w:r w:rsidR="00107CA5">
        <w:rPr>
          <w:lang w:val="en-US"/>
        </w:rPr>
        <w:t xml:space="preserve">biocontrol activities of </w:t>
      </w:r>
      <w:r w:rsidR="00532325">
        <w:rPr>
          <w:lang w:val="en-US"/>
        </w:rPr>
        <w:t xml:space="preserve">mycoparasitism </w:t>
      </w:r>
      <w:r w:rsidR="00107CA5">
        <w:rPr>
          <w:lang w:val="en-US"/>
        </w:rPr>
        <w:t xml:space="preserve">(enzyme production) </w:t>
      </w:r>
      <w:r w:rsidR="00532325">
        <w:rPr>
          <w:lang w:val="en-US"/>
        </w:rPr>
        <w:t xml:space="preserve">and antibiosis </w:t>
      </w:r>
      <w:r w:rsidR="00107CA5">
        <w:rPr>
          <w:lang w:val="en-US"/>
        </w:rPr>
        <w:t xml:space="preserve">(secondary metabolite production) </w:t>
      </w:r>
      <w:r w:rsidR="00532325">
        <w:rPr>
          <w:lang w:val="en-US"/>
        </w:rPr>
        <w:t>(</w:t>
      </w:r>
      <w:r w:rsidR="003007C8">
        <w:rPr>
          <w:lang w:val="en-US"/>
        </w:rPr>
        <w:t xml:space="preserve">Jackson </w:t>
      </w:r>
      <w:r w:rsidR="003007C8" w:rsidRPr="006116F7">
        <w:rPr>
          <w:i/>
          <w:iCs/>
          <w:lang w:val="en-US"/>
        </w:rPr>
        <w:t>et al</w:t>
      </w:r>
      <w:r w:rsidR="003007C8">
        <w:rPr>
          <w:lang w:val="en-US"/>
        </w:rPr>
        <w:t xml:space="preserve">., 1991a). </w:t>
      </w:r>
      <w:r w:rsidR="00B17415">
        <w:rPr>
          <w:lang w:val="en-US"/>
        </w:rPr>
        <w:t xml:space="preserve">The growth of T22 </w:t>
      </w:r>
      <w:r w:rsidR="003007C8">
        <w:rPr>
          <w:lang w:val="en-US"/>
        </w:rPr>
        <w:t>wa</w:t>
      </w:r>
      <w:r w:rsidR="00B17415">
        <w:rPr>
          <w:lang w:val="en-US"/>
        </w:rPr>
        <w:t>s also supported by the plant</w:t>
      </w:r>
      <w:r w:rsidR="00E10838">
        <w:rPr>
          <w:lang w:val="en-US"/>
        </w:rPr>
        <w:t>-</w:t>
      </w:r>
      <w:r w:rsidR="00B17415">
        <w:rPr>
          <w:lang w:val="en-US"/>
        </w:rPr>
        <w:t>based pelleted fertiliser Vidi Funda</w:t>
      </w:r>
      <w:r w:rsidR="003007C8">
        <w:rPr>
          <w:lang w:val="en-US"/>
        </w:rPr>
        <w:t xml:space="preserve">. It is therefore feasible that this food source </w:t>
      </w:r>
      <w:r w:rsidR="008B55BC">
        <w:rPr>
          <w:lang w:val="en-US"/>
        </w:rPr>
        <w:t xml:space="preserve">could </w:t>
      </w:r>
      <w:r w:rsidR="003007C8">
        <w:rPr>
          <w:lang w:val="en-US"/>
        </w:rPr>
        <w:t xml:space="preserve">also </w:t>
      </w:r>
      <w:r w:rsidR="008B55BC">
        <w:rPr>
          <w:lang w:val="en-US"/>
        </w:rPr>
        <w:t>enhance T22</w:t>
      </w:r>
      <w:r w:rsidR="003007C8">
        <w:rPr>
          <w:lang w:val="en-US"/>
        </w:rPr>
        <w:t>’s</w:t>
      </w:r>
      <w:r w:rsidR="008B55BC">
        <w:rPr>
          <w:lang w:val="en-US"/>
        </w:rPr>
        <w:t xml:space="preserve"> </w:t>
      </w:r>
      <w:r w:rsidR="00107CA5">
        <w:rPr>
          <w:lang w:val="en-US"/>
        </w:rPr>
        <w:t xml:space="preserve">disease biocontrol </w:t>
      </w:r>
      <w:r w:rsidR="008B55BC">
        <w:rPr>
          <w:lang w:val="en-US"/>
        </w:rPr>
        <w:t>activities</w:t>
      </w:r>
      <w:r w:rsidR="00107CA5">
        <w:rPr>
          <w:lang w:val="en-US"/>
        </w:rPr>
        <w:t xml:space="preserve">. </w:t>
      </w:r>
      <w:r w:rsidR="008B55BC">
        <w:rPr>
          <w:lang w:val="en-US"/>
        </w:rPr>
        <w:t xml:space="preserve">It might also </w:t>
      </w:r>
      <w:proofErr w:type="spellStart"/>
      <w:r w:rsidR="008B55BC">
        <w:rPr>
          <w:lang w:val="en-US"/>
        </w:rPr>
        <w:t>favour</w:t>
      </w:r>
      <w:proofErr w:type="spellEnd"/>
      <w:r w:rsidR="008B55BC">
        <w:rPr>
          <w:lang w:val="en-US"/>
        </w:rPr>
        <w:t xml:space="preserve"> T22’s longer-term survival prospects and greater potential for self-perpetuation (Jackson </w:t>
      </w:r>
      <w:r w:rsidR="008B55BC" w:rsidRPr="006116F7">
        <w:rPr>
          <w:i/>
          <w:iCs/>
          <w:lang w:val="en-US"/>
        </w:rPr>
        <w:t>et al</w:t>
      </w:r>
      <w:r w:rsidR="008B55BC">
        <w:rPr>
          <w:lang w:val="en-US"/>
        </w:rPr>
        <w:t>., 1991</w:t>
      </w:r>
      <w:r w:rsidR="00953E38">
        <w:rPr>
          <w:lang w:val="en-US"/>
        </w:rPr>
        <w:t>b</w:t>
      </w:r>
      <w:r w:rsidR="008B55BC">
        <w:rPr>
          <w:lang w:val="en-US"/>
        </w:rPr>
        <w:t>).</w:t>
      </w:r>
      <w:r w:rsidR="00E10838">
        <w:rPr>
          <w:lang w:val="en-US"/>
        </w:rPr>
        <w:t xml:space="preserve"> </w:t>
      </w:r>
      <w:r w:rsidR="0001398B">
        <w:rPr>
          <w:lang w:val="en-US"/>
        </w:rPr>
        <w:t xml:space="preserve">It was confirmed that </w:t>
      </w:r>
      <w:proofErr w:type="spellStart"/>
      <w:r w:rsidR="0001398B">
        <w:rPr>
          <w:lang w:val="en-US"/>
        </w:rPr>
        <w:t>Fortafol</w:t>
      </w:r>
      <w:proofErr w:type="spellEnd"/>
      <w:r w:rsidR="0001398B">
        <w:rPr>
          <w:lang w:val="en-US"/>
        </w:rPr>
        <w:t xml:space="preserve"> is fungitoxic to T22 spores </w:t>
      </w:r>
      <w:r w:rsidR="00103DAD">
        <w:rPr>
          <w:lang w:val="en-US"/>
        </w:rPr>
        <w:t xml:space="preserve">at the commercial rate and must not be applied as a tank mix. </w:t>
      </w:r>
      <w:r w:rsidR="00454027">
        <w:rPr>
          <w:rFonts w:cstheme="minorHAnsi"/>
          <w:lang w:val="en-US"/>
        </w:rPr>
        <w:t>This preliminary work has given an insight into how biostimulants and Trianum-P could be used together in future crop management matrices.</w:t>
      </w:r>
    </w:p>
    <w:p w14:paraId="792F271B" w14:textId="77777777" w:rsidR="00540237" w:rsidRPr="00676E64" w:rsidRDefault="00540237">
      <w:pPr>
        <w:rPr>
          <w:rFonts w:cstheme="minorHAnsi"/>
          <w:lang w:val="en-US"/>
        </w:rPr>
      </w:pPr>
    </w:p>
    <w:p w14:paraId="085252AD" w14:textId="22454BD8" w:rsidR="00BE7D75" w:rsidRDefault="00E83644">
      <w:pPr>
        <w:rPr>
          <w:rFonts w:cstheme="minorHAnsi"/>
          <w:lang w:val="en-US"/>
        </w:rPr>
      </w:pPr>
      <w:proofErr w:type="spellStart"/>
      <w:r w:rsidRPr="00676E64">
        <w:rPr>
          <w:rFonts w:cstheme="minorHAnsi"/>
          <w:b/>
          <w:lang w:val="en-US"/>
        </w:rPr>
        <w:t>Trianum</w:t>
      </w:r>
      <w:proofErr w:type="spellEnd"/>
      <w:r w:rsidR="00976D5B" w:rsidRPr="00676E64">
        <w:rPr>
          <w:rFonts w:cstheme="minorHAnsi"/>
          <w:b/>
          <w:lang w:val="en-US"/>
        </w:rPr>
        <w:t>-</w:t>
      </w:r>
      <w:r w:rsidRPr="00676E64">
        <w:rPr>
          <w:rFonts w:cstheme="minorHAnsi"/>
          <w:b/>
          <w:lang w:val="en-US"/>
        </w:rPr>
        <w:t xml:space="preserve">P®, </w:t>
      </w:r>
      <w:proofErr w:type="spellStart"/>
      <w:r w:rsidR="0001398B" w:rsidRPr="00676E64">
        <w:rPr>
          <w:rFonts w:cstheme="minorHAnsi"/>
          <w:b/>
          <w:lang w:val="en-US"/>
        </w:rPr>
        <w:t>Fortafol</w:t>
      </w:r>
      <w:proofErr w:type="spellEnd"/>
      <w:r w:rsidR="0001398B" w:rsidRPr="00676E64">
        <w:rPr>
          <w:rFonts w:cstheme="minorHAnsi"/>
          <w:b/>
          <w:lang w:val="en-US"/>
        </w:rPr>
        <w:t xml:space="preserve">®, </w:t>
      </w:r>
      <w:proofErr w:type="spellStart"/>
      <w:r w:rsidR="00B17415" w:rsidRPr="00676E64">
        <w:rPr>
          <w:rFonts w:cstheme="minorHAnsi"/>
          <w:b/>
          <w:lang w:val="en-US"/>
        </w:rPr>
        <w:t>Vidi</w:t>
      </w:r>
      <w:proofErr w:type="spellEnd"/>
      <w:r w:rsidR="00B17415" w:rsidRPr="00676E64">
        <w:rPr>
          <w:rFonts w:cstheme="minorHAnsi"/>
          <w:b/>
          <w:lang w:val="en-US"/>
        </w:rPr>
        <w:t xml:space="preserve"> </w:t>
      </w:r>
      <w:proofErr w:type="spellStart"/>
      <w:r w:rsidR="00B17415" w:rsidRPr="00676E64">
        <w:rPr>
          <w:rFonts w:cstheme="minorHAnsi"/>
          <w:b/>
          <w:lang w:val="en-US"/>
        </w:rPr>
        <w:t>Funda</w:t>
      </w:r>
      <w:proofErr w:type="spellEnd"/>
      <w:r w:rsidR="00B17415" w:rsidRPr="00676E64">
        <w:rPr>
          <w:rFonts w:cstheme="minorHAnsi"/>
          <w:b/>
          <w:lang w:val="en-US"/>
        </w:rPr>
        <w:t xml:space="preserve">® </w:t>
      </w:r>
      <w:r w:rsidR="0001398B" w:rsidRPr="00676E64">
        <w:rPr>
          <w:rFonts w:cstheme="minorHAnsi"/>
          <w:b/>
          <w:lang w:val="en-US"/>
        </w:rPr>
        <w:t xml:space="preserve">and Vidi Parva® </w:t>
      </w:r>
      <w:r w:rsidR="0001398B" w:rsidRPr="00676E64">
        <w:rPr>
          <w:rFonts w:cstheme="minorHAnsi"/>
          <w:bCs/>
          <w:lang w:val="en-US"/>
        </w:rPr>
        <w:t>are</w:t>
      </w:r>
      <w:r w:rsidR="0001398B" w:rsidRPr="00676E64">
        <w:rPr>
          <w:rFonts w:cstheme="minorHAnsi"/>
          <w:b/>
          <w:lang w:val="en-US"/>
        </w:rPr>
        <w:t xml:space="preserve"> </w:t>
      </w:r>
      <w:r w:rsidRPr="00676E64">
        <w:rPr>
          <w:rFonts w:cstheme="minorHAnsi"/>
          <w:lang w:val="en-US"/>
        </w:rPr>
        <w:t>registered trademarks of Koppert BV.</w:t>
      </w:r>
      <w:r w:rsidR="00A15341">
        <w:rPr>
          <w:rFonts w:cstheme="minorHAnsi"/>
          <w:lang w:val="en-US"/>
        </w:rPr>
        <w:t xml:space="preserve"> </w:t>
      </w:r>
      <w:proofErr w:type="spellStart"/>
      <w:r w:rsidR="00A15341">
        <w:rPr>
          <w:rFonts w:cstheme="minorHAnsi"/>
          <w:lang w:val="en-US"/>
        </w:rPr>
        <w:t>Cercobin</w:t>
      </w:r>
      <w:proofErr w:type="spellEnd"/>
      <w:r w:rsidR="00A15341" w:rsidRPr="00676E64">
        <w:rPr>
          <w:rFonts w:cstheme="minorHAnsi"/>
          <w:b/>
          <w:lang w:val="en-US"/>
        </w:rPr>
        <w:t>®</w:t>
      </w:r>
      <w:r w:rsidR="00A15341">
        <w:rPr>
          <w:rFonts w:cstheme="minorHAnsi"/>
          <w:lang w:val="en-US"/>
        </w:rPr>
        <w:t xml:space="preserve"> is a registered trademark of </w:t>
      </w:r>
      <w:r w:rsidR="001E47E4" w:rsidRPr="001E47E4">
        <w:rPr>
          <w:rFonts w:cstheme="minorHAnsi"/>
          <w:lang w:val="en-US"/>
        </w:rPr>
        <w:t>Nippon Soda Co. Ltd</w:t>
      </w:r>
      <w:r w:rsidR="00A15341">
        <w:rPr>
          <w:rFonts w:cstheme="minorHAnsi"/>
          <w:lang w:val="en-US"/>
        </w:rPr>
        <w:t>. Switch</w:t>
      </w:r>
      <w:r w:rsidR="00A15341" w:rsidRPr="00676E64">
        <w:rPr>
          <w:rFonts w:cstheme="minorHAnsi"/>
          <w:b/>
          <w:lang w:val="en-US"/>
        </w:rPr>
        <w:t>®</w:t>
      </w:r>
      <w:r w:rsidR="00A15341">
        <w:rPr>
          <w:rFonts w:cstheme="minorHAnsi"/>
          <w:lang w:val="en-US"/>
        </w:rPr>
        <w:t xml:space="preserve"> is a registered trademark of Syngenta</w:t>
      </w:r>
      <w:r w:rsidR="00AB22E9">
        <w:rPr>
          <w:rFonts w:cstheme="minorHAnsi"/>
          <w:lang w:val="en-US"/>
        </w:rPr>
        <w:t xml:space="preserve"> Group Company</w:t>
      </w:r>
      <w:r w:rsidR="00A15341">
        <w:rPr>
          <w:rFonts w:cstheme="minorHAnsi"/>
          <w:lang w:val="en-US"/>
        </w:rPr>
        <w:t>.</w:t>
      </w:r>
    </w:p>
    <w:p w14:paraId="06028969" w14:textId="77777777" w:rsidR="00540237" w:rsidRDefault="00540237">
      <w:pPr>
        <w:rPr>
          <w:rFonts w:cstheme="minorHAnsi"/>
          <w:lang w:val="en-US"/>
        </w:rPr>
      </w:pPr>
    </w:p>
    <w:p w14:paraId="329CFBDA" w14:textId="7D60DEDA" w:rsidR="00C2574B" w:rsidRPr="00BE7D75" w:rsidRDefault="007A78DE">
      <w:pPr>
        <w:rPr>
          <w:rFonts w:cstheme="minorHAnsi"/>
          <w:lang w:val="en-US"/>
        </w:rPr>
      </w:pPr>
      <w:r w:rsidRPr="00676E64">
        <w:rPr>
          <w:rFonts w:cstheme="minorHAnsi"/>
          <w:b/>
          <w:bCs/>
          <w:lang w:val="en-US"/>
        </w:rPr>
        <w:t>LITERATURE CITED</w:t>
      </w:r>
    </w:p>
    <w:p w14:paraId="13EC39C1" w14:textId="75567976" w:rsidR="00280F85" w:rsidRPr="00280F85" w:rsidRDefault="00F46DDF" w:rsidP="00860C78">
      <w:pPr>
        <w:rPr>
          <w:rFonts w:cstheme="minorHAnsi"/>
          <w:lang w:val="en-US"/>
        </w:rPr>
      </w:pPr>
      <w:r w:rsidRPr="00F46DDF">
        <w:rPr>
          <w:rFonts w:cstheme="minorHAnsi"/>
          <w:b/>
          <w:bCs/>
          <w:lang w:val="en-US"/>
        </w:rPr>
        <w:t>Ahmad, S.J., &amp; Baker, R.</w:t>
      </w:r>
      <w:r>
        <w:rPr>
          <w:rFonts w:cstheme="minorHAnsi"/>
          <w:lang w:val="en-US"/>
        </w:rPr>
        <w:t xml:space="preserve"> (1988). </w:t>
      </w:r>
      <w:r w:rsidRPr="00F46DDF">
        <w:rPr>
          <w:rFonts w:cstheme="minorHAnsi"/>
          <w:lang w:val="en-US"/>
        </w:rPr>
        <w:t xml:space="preserve">Implications of rhizosphere competence of </w:t>
      </w:r>
      <w:r w:rsidRPr="00D00628">
        <w:rPr>
          <w:rFonts w:cstheme="minorHAnsi"/>
          <w:i/>
          <w:iCs/>
          <w:lang w:val="en-US"/>
        </w:rPr>
        <w:t>Trichoderma harzianum</w:t>
      </w:r>
      <w:r>
        <w:rPr>
          <w:rFonts w:cstheme="minorHAnsi"/>
          <w:lang w:val="en-US"/>
        </w:rPr>
        <w:t>.</w:t>
      </w:r>
      <w:r w:rsidRPr="00F46DDF">
        <w:rPr>
          <w:rFonts w:cstheme="minorHAnsi"/>
          <w:lang w:val="en-US"/>
        </w:rPr>
        <w:t xml:space="preserve"> </w:t>
      </w:r>
      <w:r w:rsidR="00280F85" w:rsidRPr="00280F85">
        <w:rPr>
          <w:rFonts w:cstheme="minorHAnsi"/>
          <w:lang w:val="en-US"/>
        </w:rPr>
        <w:t xml:space="preserve">Canadian Journal of Microbiology, </w:t>
      </w:r>
      <w:r>
        <w:rPr>
          <w:rFonts w:cstheme="minorHAnsi"/>
          <w:lang w:val="en-US"/>
        </w:rPr>
        <w:t xml:space="preserve">34 (3), </w:t>
      </w:r>
      <w:r w:rsidR="00280F85" w:rsidRPr="00280F85">
        <w:rPr>
          <w:rFonts w:cstheme="minorHAnsi"/>
          <w:lang w:val="en-US"/>
        </w:rPr>
        <w:t>229-234</w:t>
      </w:r>
      <w:r>
        <w:rPr>
          <w:rFonts w:cstheme="minorHAnsi"/>
          <w:lang w:val="en-US"/>
        </w:rPr>
        <w:t>.</w:t>
      </w:r>
    </w:p>
    <w:p w14:paraId="631F4822" w14:textId="3F1FF71F" w:rsidR="00836AB6" w:rsidRDefault="00836AB6" w:rsidP="00860C78">
      <w:pPr>
        <w:rPr>
          <w:rFonts w:cstheme="minorHAnsi"/>
          <w:lang w:val="en-US"/>
        </w:rPr>
      </w:pPr>
      <w:r>
        <w:rPr>
          <w:rFonts w:cstheme="minorHAnsi"/>
          <w:b/>
          <w:bCs/>
          <w:lang w:val="en-US"/>
        </w:rPr>
        <w:t xml:space="preserve">Anon. </w:t>
      </w:r>
      <w:r w:rsidRPr="00836AB6">
        <w:rPr>
          <w:rFonts w:cstheme="minorHAnsi"/>
          <w:lang w:val="en-US"/>
        </w:rPr>
        <w:t>(2019a).</w:t>
      </w:r>
      <w:r>
        <w:rPr>
          <w:rFonts w:cstheme="minorHAnsi"/>
          <w:lang w:val="en-US"/>
        </w:rPr>
        <w:t xml:space="preserve"> </w:t>
      </w:r>
      <w:proofErr w:type="spellStart"/>
      <w:r>
        <w:rPr>
          <w:rFonts w:cstheme="minorHAnsi"/>
          <w:lang w:val="en-US"/>
        </w:rPr>
        <w:t>Authorised</w:t>
      </w:r>
      <w:proofErr w:type="spellEnd"/>
      <w:r>
        <w:rPr>
          <w:rFonts w:cstheme="minorHAnsi"/>
          <w:lang w:val="en-US"/>
        </w:rPr>
        <w:t xml:space="preserve"> pesticide products and </w:t>
      </w:r>
      <w:r w:rsidR="00D833FC">
        <w:rPr>
          <w:rFonts w:cstheme="minorHAnsi"/>
          <w:lang w:val="en-US"/>
        </w:rPr>
        <w:t>e</w:t>
      </w:r>
      <w:r>
        <w:rPr>
          <w:rFonts w:cstheme="minorHAnsi"/>
          <w:lang w:val="en-US"/>
        </w:rPr>
        <w:t xml:space="preserve">xtension of authorization for minor use. </w:t>
      </w:r>
      <w:hyperlink r:id="rId7" w:history="1">
        <w:r w:rsidRPr="000A1267">
          <w:rPr>
            <w:rStyle w:val="Hyperlink"/>
            <w:rFonts w:cstheme="minorHAnsi"/>
            <w:lang w:val="en-US"/>
          </w:rPr>
          <w:t>www.pesticides.gov.uk</w:t>
        </w:r>
      </w:hyperlink>
      <w:r>
        <w:rPr>
          <w:rFonts w:cstheme="minorHAnsi"/>
          <w:lang w:val="en-US"/>
        </w:rPr>
        <w:t>.</w:t>
      </w:r>
    </w:p>
    <w:p w14:paraId="2C8716CE" w14:textId="1CEC2F55" w:rsidR="00836AB6" w:rsidRDefault="00836AB6" w:rsidP="00860C78">
      <w:pPr>
        <w:rPr>
          <w:rFonts w:cstheme="minorHAnsi"/>
          <w:lang w:val="en-US"/>
        </w:rPr>
      </w:pPr>
      <w:r w:rsidRPr="00836AB6">
        <w:rPr>
          <w:rFonts w:cstheme="minorHAnsi"/>
          <w:b/>
          <w:bCs/>
          <w:lang w:val="en-US"/>
        </w:rPr>
        <w:t>Anon.</w:t>
      </w:r>
      <w:r>
        <w:rPr>
          <w:rFonts w:cstheme="minorHAnsi"/>
          <w:lang w:val="en-US"/>
        </w:rPr>
        <w:t xml:space="preserve"> (2019b). How to use Trianum-P. </w:t>
      </w:r>
      <w:hyperlink r:id="rId8" w:history="1">
        <w:r w:rsidRPr="000A1267">
          <w:rPr>
            <w:rStyle w:val="Hyperlink"/>
            <w:rFonts w:cstheme="minorHAnsi"/>
            <w:lang w:val="en-US"/>
          </w:rPr>
          <w:t>www.koppert.co.uk</w:t>
        </w:r>
      </w:hyperlink>
      <w:r>
        <w:rPr>
          <w:rFonts w:cstheme="minorHAnsi"/>
          <w:lang w:val="en-US"/>
        </w:rPr>
        <w:t>.</w:t>
      </w:r>
    </w:p>
    <w:p w14:paraId="68E1DE9A" w14:textId="1F4B29D3" w:rsidR="00836AB6" w:rsidRDefault="00836AB6" w:rsidP="00860C78">
      <w:pPr>
        <w:rPr>
          <w:rFonts w:cstheme="minorHAnsi"/>
          <w:lang w:val="en-US"/>
        </w:rPr>
      </w:pPr>
      <w:r w:rsidRPr="00836AB6">
        <w:rPr>
          <w:rFonts w:cstheme="minorHAnsi"/>
          <w:b/>
          <w:bCs/>
          <w:lang w:val="en-US"/>
        </w:rPr>
        <w:t>Anon</w:t>
      </w:r>
      <w:r>
        <w:rPr>
          <w:rFonts w:cstheme="minorHAnsi"/>
          <w:lang w:val="en-US"/>
        </w:rPr>
        <w:t>. (2019c). The Trian</w:t>
      </w:r>
      <w:r w:rsidR="006C730B">
        <w:rPr>
          <w:rFonts w:cstheme="minorHAnsi"/>
          <w:lang w:val="en-US"/>
        </w:rPr>
        <w:t>u</w:t>
      </w:r>
      <w:r>
        <w:rPr>
          <w:rFonts w:cstheme="minorHAnsi"/>
          <w:lang w:val="en-US"/>
        </w:rPr>
        <w:t xml:space="preserve">m and Vidi Parva foundation. </w:t>
      </w:r>
      <w:hyperlink r:id="rId9" w:history="1">
        <w:r w:rsidRPr="000A1267">
          <w:rPr>
            <w:rStyle w:val="Hyperlink"/>
            <w:rFonts w:cstheme="minorHAnsi"/>
            <w:lang w:val="en-US"/>
          </w:rPr>
          <w:t>www.koppert.co.uk</w:t>
        </w:r>
      </w:hyperlink>
    </w:p>
    <w:p w14:paraId="4F4B864A" w14:textId="2F22E098" w:rsidR="00567BC1" w:rsidRDefault="00567BC1" w:rsidP="00860C78">
      <w:pPr>
        <w:rPr>
          <w:rFonts w:cstheme="minorHAnsi"/>
          <w:b/>
          <w:bCs/>
          <w:lang w:val="en-US"/>
        </w:rPr>
      </w:pPr>
      <w:r w:rsidRPr="00567BC1">
        <w:rPr>
          <w:rFonts w:cstheme="minorHAnsi"/>
          <w:b/>
          <w:bCs/>
          <w:lang w:val="en-US"/>
        </w:rPr>
        <w:t xml:space="preserve">Baker, R. </w:t>
      </w:r>
      <w:r w:rsidRPr="00567BC1">
        <w:rPr>
          <w:rFonts w:cstheme="minorHAnsi"/>
          <w:lang w:val="en-US"/>
        </w:rPr>
        <w:t>(1988</w:t>
      </w:r>
      <w:r>
        <w:rPr>
          <w:rFonts w:cstheme="minorHAnsi"/>
          <w:lang w:val="en-US"/>
        </w:rPr>
        <w:t>).</w:t>
      </w:r>
      <w:r w:rsidRPr="00567BC1">
        <w:rPr>
          <w:rFonts w:cstheme="minorHAnsi"/>
          <w:lang w:val="en-US"/>
        </w:rPr>
        <w:t xml:space="preserve"> </w:t>
      </w:r>
      <w:r w:rsidRPr="00BC00CE">
        <w:rPr>
          <w:rFonts w:cstheme="minorHAnsi"/>
          <w:i/>
          <w:iCs/>
          <w:lang w:val="en-US"/>
        </w:rPr>
        <w:t>Trichoderma spp</w:t>
      </w:r>
      <w:r w:rsidRPr="00567BC1">
        <w:rPr>
          <w:rFonts w:cstheme="minorHAnsi"/>
          <w:lang w:val="en-US"/>
        </w:rPr>
        <w:t>. as plant growth stimulants. CRC Critical Reviews in Biotechnology, 7, 97 106.</w:t>
      </w:r>
    </w:p>
    <w:p w14:paraId="39E89FA6" w14:textId="6A103ABC" w:rsidR="00860C78" w:rsidRPr="00676E64" w:rsidRDefault="00860C78" w:rsidP="00860C78">
      <w:pPr>
        <w:rPr>
          <w:rFonts w:cstheme="minorHAnsi"/>
          <w:lang w:val="en-US"/>
        </w:rPr>
      </w:pPr>
      <w:r w:rsidRPr="00676E64">
        <w:rPr>
          <w:rFonts w:cstheme="minorHAnsi"/>
          <w:b/>
          <w:bCs/>
          <w:lang w:val="en-US"/>
        </w:rPr>
        <w:t>Harman, G.</w:t>
      </w:r>
      <w:r w:rsidRPr="00676E64">
        <w:rPr>
          <w:rFonts w:cstheme="minorHAnsi"/>
          <w:lang w:val="en-US"/>
        </w:rPr>
        <w:t xml:space="preserve"> (2006). Overview of </w:t>
      </w:r>
      <w:r w:rsidR="008B6F4D">
        <w:rPr>
          <w:rFonts w:cstheme="minorHAnsi"/>
          <w:lang w:val="en-US"/>
        </w:rPr>
        <w:t>m</w:t>
      </w:r>
      <w:r w:rsidRPr="00676E64">
        <w:rPr>
          <w:rFonts w:cstheme="minorHAnsi"/>
          <w:lang w:val="en-US"/>
        </w:rPr>
        <w:t xml:space="preserve">echanisms and </w:t>
      </w:r>
      <w:r w:rsidR="008B6F4D">
        <w:rPr>
          <w:rFonts w:cstheme="minorHAnsi"/>
          <w:lang w:val="en-US"/>
        </w:rPr>
        <w:t>u</w:t>
      </w:r>
      <w:r w:rsidRPr="00676E64">
        <w:rPr>
          <w:rFonts w:cstheme="minorHAnsi"/>
          <w:lang w:val="en-US"/>
        </w:rPr>
        <w:t xml:space="preserve">ses of </w:t>
      </w:r>
      <w:r w:rsidRPr="008B6F4D">
        <w:rPr>
          <w:rFonts w:cstheme="minorHAnsi"/>
          <w:i/>
          <w:iCs/>
          <w:lang w:val="en-US"/>
        </w:rPr>
        <w:t>Trichoderma spp</w:t>
      </w:r>
      <w:r w:rsidRPr="00676E64">
        <w:rPr>
          <w:rFonts w:cstheme="minorHAnsi"/>
          <w:lang w:val="en-US"/>
        </w:rPr>
        <w:t>.</w:t>
      </w:r>
      <w:r w:rsidRPr="00676E64">
        <w:rPr>
          <w:rFonts w:cstheme="minorHAnsi"/>
        </w:rPr>
        <w:t xml:space="preserve"> Symposium: </w:t>
      </w:r>
      <w:r w:rsidRPr="00676E64">
        <w:rPr>
          <w:rFonts w:cstheme="minorHAnsi"/>
          <w:lang w:val="en-US"/>
        </w:rPr>
        <w:t xml:space="preserve">The Nature and Application of Biocontrol Microbes II: </w:t>
      </w:r>
      <w:r w:rsidRPr="008B6F4D">
        <w:rPr>
          <w:rFonts w:cstheme="minorHAnsi"/>
          <w:i/>
          <w:iCs/>
          <w:lang w:val="en-US"/>
        </w:rPr>
        <w:t>Trichoderma spp</w:t>
      </w:r>
      <w:r w:rsidRPr="00676E64">
        <w:rPr>
          <w:rFonts w:cstheme="minorHAnsi"/>
          <w:lang w:val="en-US"/>
        </w:rPr>
        <w:t>. 96 (2) 190-194.</w:t>
      </w:r>
    </w:p>
    <w:p w14:paraId="5D531F9B" w14:textId="77777777" w:rsidR="00860C78" w:rsidRPr="00676E64" w:rsidRDefault="00860C78" w:rsidP="00860C78">
      <w:pPr>
        <w:rPr>
          <w:rFonts w:cstheme="minorHAnsi"/>
          <w:lang w:val="en-US"/>
        </w:rPr>
      </w:pPr>
      <w:r w:rsidRPr="00676E64">
        <w:rPr>
          <w:rFonts w:cstheme="minorHAnsi"/>
          <w:b/>
          <w:bCs/>
          <w:lang w:val="en-US"/>
        </w:rPr>
        <w:t xml:space="preserve">Harman, G. E, Howell, C.R., </w:t>
      </w:r>
      <w:proofErr w:type="spellStart"/>
      <w:r w:rsidRPr="00676E64">
        <w:rPr>
          <w:rFonts w:cstheme="minorHAnsi"/>
          <w:b/>
          <w:bCs/>
          <w:lang w:val="en-US"/>
        </w:rPr>
        <w:t>Viterbo</w:t>
      </w:r>
      <w:proofErr w:type="spellEnd"/>
      <w:r w:rsidRPr="00676E64">
        <w:rPr>
          <w:rFonts w:cstheme="minorHAnsi"/>
          <w:b/>
          <w:bCs/>
          <w:lang w:val="en-US"/>
        </w:rPr>
        <w:t xml:space="preserve">, A., Chet, I and </w:t>
      </w:r>
      <w:proofErr w:type="spellStart"/>
      <w:r w:rsidRPr="00676E64">
        <w:rPr>
          <w:rFonts w:cstheme="minorHAnsi"/>
          <w:b/>
          <w:bCs/>
          <w:lang w:val="en-US"/>
        </w:rPr>
        <w:t>Loriti</w:t>
      </w:r>
      <w:proofErr w:type="spellEnd"/>
      <w:r w:rsidRPr="00676E64">
        <w:rPr>
          <w:rFonts w:cstheme="minorHAnsi"/>
          <w:b/>
          <w:bCs/>
          <w:lang w:val="en-US"/>
        </w:rPr>
        <w:t>, M.</w:t>
      </w:r>
      <w:r w:rsidRPr="00676E64">
        <w:rPr>
          <w:rFonts w:cstheme="minorHAnsi"/>
          <w:lang w:val="en-US"/>
        </w:rPr>
        <w:t xml:space="preserve"> (2004a). </w:t>
      </w:r>
      <w:r w:rsidRPr="00BC00CE">
        <w:rPr>
          <w:rFonts w:cstheme="minorHAnsi"/>
          <w:i/>
          <w:iCs/>
          <w:lang w:val="en-US"/>
        </w:rPr>
        <w:t>Trichoderma</w:t>
      </w:r>
      <w:r w:rsidRPr="00676E64">
        <w:rPr>
          <w:rFonts w:cstheme="minorHAnsi"/>
          <w:lang w:val="en-US"/>
        </w:rPr>
        <w:t xml:space="preserve"> species — opportunistic, avirulent plant symbionts. Nature Reviews Microbiology, 2: 43–56.</w:t>
      </w:r>
    </w:p>
    <w:p w14:paraId="58EE2FE4" w14:textId="77777777" w:rsidR="00860C78" w:rsidRPr="00676E64" w:rsidRDefault="00860C78" w:rsidP="00860C78">
      <w:pPr>
        <w:rPr>
          <w:rFonts w:cstheme="minorHAnsi"/>
          <w:bCs/>
          <w:lang w:val="en-US"/>
        </w:rPr>
      </w:pPr>
      <w:r w:rsidRPr="00676E64">
        <w:rPr>
          <w:rFonts w:cstheme="minorHAnsi"/>
          <w:b/>
          <w:lang w:val="en-US"/>
        </w:rPr>
        <w:t xml:space="preserve">Harman, G. E., </w:t>
      </w:r>
      <w:proofErr w:type="spellStart"/>
      <w:r w:rsidRPr="00676E64">
        <w:rPr>
          <w:rFonts w:cstheme="minorHAnsi"/>
          <w:b/>
          <w:lang w:val="en-US"/>
        </w:rPr>
        <w:t>Petzoldt</w:t>
      </w:r>
      <w:proofErr w:type="spellEnd"/>
      <w:r w:rsidRPr="00676E64">
        <w:rPr>
          <w:rFonts w:cstheme="minorHAnsi"/>
          <w:b/>
          <w:lang w:val="en-US"/>
        </w:rPr>
        <w:t xml:space="preserve">, R., </w:t>
      </w:r>
      <w:proofErr w:type="spellStart"/>
      <w:r w:rsidRPr="00676E64">
        <w:rPr>
          <w:rFonts w:cstheme="minorHAnsi"/>
          <w:b/>
          <w:lang w:val="en-US"/>
        </w:rPr>
        <w:t>Comis</w:t>
      </w:r>
      <w:proofErr w:type="spellEnd"/>
      <w:r w:rsidRPr="00676E64">
        <w:rPr>
          <w:rFonts w:cstheme="minorHAnsi"/>
          <w:b/>
          <w:lang w:val="en-US"/>
        </w:rPr>
        <w:t>, A., and Chen, J</w:t>
      </w:r>
      <w:r w:rsidRPr="00676E64">
        <w:rPr>
          <w:rFonts w:cstheme="minorHAnsi"/>
          <w:bCs/>
          <w:lang w:val="en-US"/>
        </w:rPr>
        <w:t xml:space="preserve">. (2004b). Interactions between </w:t>
      </w:r>
      <w:r w:rsidRPr="00E33D9A">
        <w:rPr>
          <w:rFonts w:cstheme="minorHAnsi"/>
          <w:bCs/>
          <w:i/>
          <w:iCs/>
          <w:lang w:val="en-US"/>
        </w:rPr>
        <w:t>Trichoderma harzianum</w:t>
      </w:r>
      <w:r w:rsidRPr="00676E64">
        <w:rPr>
          <w:rFonts w:cstheme="minorHAnsi"/>
          <w:bCs/>
          <w:lang w:val="en-US"/>
        </w:rPr>
        <w:t xml:space="preserve"> strain T22 and maize inbred line Mo17 and effects of these interactions on diseases caused by </w:t>
      </w:r>
      <w:r w:rsidRPr="008B6F4D">
        <w:rPr>
          <w:rFonts w:cstheme="minorHAnsi"/>
          <w:bCs/>
          <w:i/>
          <w:iCs/>
          <w:lang w:val="en-US"/>
        </w:rPr>
        <w:t xml:space="preserve">Pythium </w:t>
      </w:r>
      <w:proofErr w:type="spellStart"/>
      <w:r w:rsidRPr="008B6F4D">
        <w:rPr>
          <w:rFonts w:cstheme="minorHAnsi"/>
          <w:bCs/>
          <w:i/>
          <w:iCs/>
          <w:lang w:val="en-US"/>
        </w:rPr>
        <w:t>ultimum</w:t>
      </w:r>
      <w:proofErr w:type="spellEnd"/>
      <w:r w:rsidRPr="00676E64">
        <w:rPr>
          <w:rFonts w:cstheme="minorHAnsi"/>
          <w:bCs/>
          <w:lang w:val="en-US"/>
        </w:rPr>
        <w:t xml:space="preserve"> and </w:t>
      </w:r>
      <w:r w:rsidRPr="008B6F4D">
        <w:rPr>
          <w:rFonts w:cstheme="minorHAnsi"/>
          <w:bCs/>
          <w:i/>
          <w:iCs/>
          <w:lang w:val="en-US"/>
        </w:rPr>
        <w:t xml:space="preserve">Colletotrichum </w:t>
      </w:r>
      <w:proofErr w:type="spellStart"/>
      <w:r w:rsidRPr="008B6F4D">
        <w:rPr>
          <w:rFonts w:cstheme="minorHAnsi"/>
          <w:bCs/>
          <w:i/>
          <w:iCs/>
          <w:lang w:val="en-US"/>
        </w:rPr>
        <w:t>graminicola</w:t>
      </w:r>
      <w:proofErr w:type="spellEnd"/>
      <w:r w:rsidRPr="00676E64">
        <w:rPr>
          <w:rFonts w:cstheme="minorHAnsi"/>
          <w:bCs/>
          <w:lang w:val="en-US"/>
        </w:rPr>
        <w:t>. Phytopathology 94:147-153.</w:t>
      </w:r>
    </w:p>
    <w:p w14:paraId="48CF6A12" w14:textId="77777777" w:rsidR="00860C78" w:rsidRPr="00676E64" w:rsidRDefault="00860C78" w:rsidP="00860C78">
      <w:pPr>
        <w:rPr>
          <w:rFonts w:cstheme="minorHAnsi"/>
          <w:lang w:val="en-US"/>
        </w:rPr>
      </w:pPr>
      <w:r w:rsidRPr="00676E64">
        <w:rPr>
          <w:rFonts w:cstheme="minorHAnsi"/>
          <w:b/>
          <w:bCs/>
          <w:lang w:val="en-US"/>
        </w:rPr>
        <w:t>Heil, M. and Bostock, R. M.</w:t>
      </w:r>
      <w:r w:rsidRPr="00676E64">
        <w:rPr>
          <w:rFonts w:cstheme="minorHAnsi"/>
          <w:lang w:val="en-US"/>
        </w:rPr>
        <w:t xml:space="preserve"> (2002). Induced systemic resistance (ISR) against pathogens in the context of induced plant </w:t>
      </w:r>
      <w:proofErr w:type="spellStart"/>
      <w:r w:rsidRPr="00676E64">
        <w:rPr>
          <w:rFonts w:cstheme="minorHAnsi"/>
          <w:lang w:val="en-US"/>
        </w:rPr>
        <w:t>defences</w:t>
      </w:r>
      <w:proofErr w:type="spellEnd"/>
      <w:r w:rsidRPr="00676E64">
        <w:rPr>
          <w:rFonts w:cstheme="minorHAnsi"/>
          <w:lang w:val="en-US"/>
        </w:rPr>
        <w:t>. Annals of Botany, 89: 503-512.</w:t>
      </w:r>
    </w:p>
    <w:p w14:paraId="07557272" w14:textId="35280F80" w:rsidR="000B4F38" w:rsidRPr="000B4F38" w:rsidRDefault="000B4F38" w:rsidP="006834BC">
      <w:pPr>
        <w:rPr>
          <w:rFonts w:eastAsia="Times New Roman" w:cstheme="minorHAnsi"/>
          <w:lang w:val="en" w:eastAsia="en-GB"/>
        </w:rPr>
      </w:pPr>
      <w:bookmarkStart w:id="4" w:name="_Hlk14183282"/>
      <w:r>
        <w:rPr>
          <w:rFonts w:eastAsia="Times New Roman" w:cstheme="minorHAnsi"/>
          <w:b/>
          <w:bCs/>
          <w:lang w:val="en" w:eastAsia="en-GB"/>
        </w:rPr>
        <w:t xml:space="preserve">Jackson, A.M., </w:t>
      </w:r>
      <w:proofErr w:type="spellStart"/>
      <w:r>
        <w:rPr>
          <w:rFonts w:eastAsia="Times New Roman" w:cstheme="minorHAnsi"/>
          <w:b/>
          <w:bCs/>
          <w:lang w:val="en" w:eastAsia="en-GB"/>
        </w:rPr>
        <w:t>Whipps</w:t>
      </w:r>
      <w:proofErr w:type="spellEnd"/>
      <w:r>
        <w:rPr>
          <w:rFonts w:eastAsia="Times New Roman" w:cstheme="minorHAnsi"/>
          <w:b/>
          <w:bCs/>
          <w:lang w:val="en" w:eastAsia="en-GB"/>
        </w:rPr>
        <w:t xml:space="preserve">, J.M., Lynch, J.M. and </w:t>
      </w:r>
      <w:proofErr w:type="spellStart"/>
      <w:r>
        <w:rPr>
          <w:rFonts w:eastAsia="Times New Roman" w:cstheme="minorHAnsi"/>
          <w:b/>
          <w:bCs/>
          <w:lang w:val="en" w:eastAsia="en-GB"/>
        </w:rPr>
        <w:t>Bazin</w:t>
      </w:r>
      <w:proofErr w:type="spellEnd"/>
      <w:r>
        <w:rPr>
          <w:rFonts w:eastAsia="Times New Roman" w:cstheme="minorHAnsi"/>
          <w:b/>
          <w:bCs/>
          <w:lang w:val="en" w:eastAsia="en-GB"/>
        </w:rPr>
        <w:t xml:space="preserve">, M.J. </w:t>
      </w:r>
      <w:r>
        <w:rPr>
          <w:rFonts w:eastAsia="Times New Roman" w:cstheme="minorHAnsi"/>
          <w:lang w:val="en" w:eastAsia="en-GB"/>
        </w:rPr>
        <w:t xml:space="preserve">(1991a). </w:t>
      </w:r>
      <w:r w:rsidR="000B7633">
        <w:rPr>
          <w:rFonts w:eastAsia="Times New Roman" w:cstheme="minorHAnsi"/>
          <w:lang w:val="en" w:eastAsia="en-GB"/>
        </w:rPr>
        <w:t xml:space="preserve">Effects of some carbon and nitrogen sources on spore germination, production of biomass and antifungal metabolites by species of </w:t>
      </w:r>
      <w:r w:rsidR="000B7633" w:rsidRPr="008B6F4D">
        <w:rPr>
          <w:rFonts w:eastAsia="Times New Roman" w:cstheme="minorHAnsi"/>
          <w:i/>
          <w:iCs/>
          <w:lang w:val="en" w:eastAsia="en-GB"/>
        </w:rPr>
        <w:t>Trichoderma</w:t>
      </w:r>
      <w:r w:rsidR="000B7633">
        <w:rPr>
          <w:rFonts w:eastAsia="Times New Roman" w:cstheme="minorHAnsi"/>
          <w:lang w:val="en" w:eastAsia="en-GB"/>
        </w:rPr>
        <w:t xml:space="preserve"> and </w:t>
      </w:r>
      <w:proofErr w:type="spellStart"/>
      <w:r w:rsidR="000B7633" w:rsidRPr="008B6F4D">
        <w:rPr>
          <w:rFonts w:eastAsia="Times New Roman" w:cstheme="minorHAnsi"/>
          <w:i/>
          <w:iCs/>
          <w:lang w:val="en" w:eastAsia="en-GB"/>
        </w:rPr>
        <w:t>Gliocladium</w:t>
      </w:r>
      <w:proofErr w:type="spellEnd"/>
      <w:r w:rsidR="000B7633" w:rsidRPr="008B6F4D">
        <w:rPr>
          <w:rFonts w:eastAsia="Times New Roman" w:cstheme="minorHAnsi"/>
          <w:i/>
          <w:iCs/>
          <w:lang w:val="en" w:eastAsia="en-GB"/>
        </w:rPr>
        <w:t xml:space="preserve"> </w:t>
      </w:r>
      <w:proofErr w:type="spellStart"/>
      <w:r w:rsidR="000B7633" w:rsidRPr="008B6F4D">
        <w:rPr>
          <w:rFonts w:eastAsia="Times New Roman" w:cstheme="minorHAnsi"/>
          <w:i/>
          <w:iCs/>
          <w:lang w:val="en" w:eastAsia="en-GB"/>
        </w:rPr>
        <w:t>virens</w:t>
      </w:r>
      <w:proofErr w:type="spellEnd"/>
      <w:r w:rsidR="000B7633">
        <w:rPr>
          <w:rFonts w:eastAsia="Times New Roman" w:cstheme="minorHAnsi"/>
          <w:lang w:val="en" w:eastAsia="en-GB"/>
        </w:rPr>
        <w:t xml:space="preserve"> antagonistic to </w:t>
      </w:r>
      <w:r w:rsidR="000B7633" w:rsidRPr="000B7633">
        <w:rPr>
          <w:rFonts w:eastAsia="Times New Roman" w:cstheme="minorHAnsi"/>
          <w:i/>
          <w:iCs/>
          <w:lang w:val="en" w:eastAsia="en-GB"/>
        </w:rPr>
        <w:t xml:space="preserve">Sclerotium </w:t>
      </w:r>
      <w:proofErr w:type="spellStart"/>
      <w:r w:rsidR="000B7633" w:rsidRPr="000B7633">
        <w:rPr>
          <w:rFonts w:eastAsia="Times New Roman" w:cstheme="minorHAnsi"/>
          <w:i/>
          <w:iCs/>
          <w:lang w:val="en" w:eastAsia="en-GB"/>
        </w:rPr>
        <w:t>cepivorum</w:t>
      </w:r>
      <w:proofErr w:type="spellEnd"/>
      <w:r w:rsidR="000B7633">
        <w:rPr>
          <w:rFonts w:eastAsia="Times New Roman" w:cstheme="minorHAnsi"/>
          <w:lang w:val="en" w:eastAsia="en-GB"/>
        </w:rPr>
        <w:t>. Biocontrol Science and Technology, 1, 43-51.</w:t>
      </w:r>
    </w:p>
    <w:bookmarkEnd w:id="4"/>
    <w:p w14:paraId="641E1CD1" w14:textId="0DF0D707" w:rsidR="000B4F38" w:rsidRPr="000B4F38" w:rsidRDefault="000B4F38" w:rsidP="000B4F38">
      <w:pPr>
        <w:rPr>
          <w:rFonts w:eastAsia="Times New Roman" w:cstheme="minorHAnsi"/>
          <w:lang w:val="en" w:eastAsia="en-GB"/>
        </w:rPr>
      </w:pPr>
      <w:r>
        <w:rPr>
          <w:rFonts w:eastAsia="Times New Roman" w:cstheme="minorHAnsi"/>
          <w:b/>
          <w:bCs/>
          <w:lang w:val="en" w:eastAsia="en-GB"/>
        </w:rPr>
        <w:t xml:space="preserve">Jackson, A.M., </w:t>
      </w:r>
      <w:proofErr w:type="spellStart"/>
      <w:r>
        <w:rPr>
          <w:rFonts w:eastAsia="Times New Roman" w:cstheme="minorHAnsi"/>
          <w:b/>
          <w:bCs/>
          <w:lang w:val="en" w:eastAsia="en-GB"/>
        </w:rPr>
        <w:t>Whipps</w:t>
      </w:r>
      <w:proofErr w:type="spellEnd"/>
      <w:r>
        <w:rPr>
          <w:rFonts w:eastAsia="Times New Roman" w:cstheme="minorHAnsi"/>
          <w:b/>
          <w:bCs/>
          <w:lang w:val="en" w:eastAsia="en-GB"/>
        </w:rPr>
        <w:t xml:space="preserve">, J.M. and Lynch, J.M. </w:t>
      </w:r>
      <w:r>
        <w:rPr>
          <w:rFonts w:eastAsia="Times New Roman" w:cstheme="minorHAnsi"/>
          <w:lang w:val="en" w:eastAsia="en-GB"/>
        </w:rPr>
        <w:t xml:space="preserve">(1991b). </w:t>
      </w:r>
      <w:r w:rsidR="00F7090A">
        <w:rPr>
          <w:rFonts w:eastAsia="Times New Roman" w:cstheme="minorHAnsi"/>
          <w:lang w:val="en" w:eastAsia="en-GB"/>
        </w:rPr>
        <w:t xml:space="preserve">Production, delivery systems and survival in soil of four fungi with disease biocontrol potential. Enzyme </w:t>
      </w:r>
      <w:proofErr w:type="spellStart"/>
      <w:r w:rsidR="00F7090A">
        <w:rPr>
          <w:rFonts w:eastAsia="Times New Roman" w:cstheme="minorHAnsi"/>
          <w:lang w:val="en" w:eastAsia="en-GB"/>
        </w:rPr>
        <w:t>Microb</w:t>
      </w:r>
      <w:proofErr w:type="spellEnd"/>
      <w:r w:rsidR="00F7090A">
        <w:rPr>
          <w:rFonts w:eastAsia="Times New Roman" w:cstheme="minorHAnsi"/>
          <w:lang w:val="en" w:eastAsia="en-GB"/>
        </w:rPr>
        <w:t xml:space="preserve">. Technol., </w:t>
      </w:r>
      <w:r w:rsidR="00EB467E">
        <w:rPr>
          <w:rFonts w:eastAsia="Times New Roman" w:cstheme="minorHAnsi"/>
          <w:lang w:val="en" w:eastAsia="en-GB"/>
        </w:rPr>
        <w:t>13, 636-642.</w:t>
      </w:r>
    </w:p>
    <w:p w14:paraId="6065CFDF" w14:textId="3D8622AC" w:rsidR="006834BC" w:rsidRPr="00676E64" w:rsidRDefault="006834BC" w:rsidP="006834BC">
      <w:pPr>
        <w:rPr>
          <w:rFonts w:eastAsia="Times New Roman" w:cstheme="minorHAnsi"/>
          <w:lang w:val="en" w:eastAsia="en-GB"/>
        </w:rPr>
      </w:pPr>
      <w:proofErr w:type="spellStart"/>
      <w:r w:rsidRPr="00676E64">
        <w:rPr>
          <w:rFonts w:eastAsia="Times New Roman" w:cstheme="minorHAnsi"/>
          <w:b/>
          <w:bCs/>
          <w:lang w:val="en" w:eastAsia="en-GB"/>
        </w:rPr>
        <w:lastRenderedPageBreak/>
        <w:t>Nibau</w:t>
      </w:r>
      <w:proofErr w:type="spellEnd"/>
      <w:r w:rsidRPr="00676E64">
        <w:rPr>
          <w:rFonts w:eastAsia="Times New Roman" w:cstheme="minorHAnsi"/>
          <w:b/>
          <w:bCs/>
          <w:lang w:val="en" w:eastAsia="en-GB"/>
        </w:rPr>
        <w:t>, C., Gibbs, D. J. and Coates, J.C</w:t>
      </w:r>
      <w:r w:rsidRPr="00676E64">
        <w:rPr>
          <w:rFonts w:eastAsia="Times New Roman" w:cstheme="minorHAnsi"/>
          <w:lang w:val="en" w:eastAsia="en-GB"/>
        </w:rPr>
        <w:t xml:space="preserve">. (2012). Branching out in new directions: the control of root architecture by lateral root formation. New </w:t>
      </w:r>
      <w:proofErr w:type="spellStart"/>
      <w:r w:rsidRPr="00676E64">
        <w:rPr>
          <w:rFonts w:eastAsia="Times New Roman" w:cstheme="minorHAnsi"/>
          <w:lang w:val="en" w:eastAsia="en-GB"/>
        </w:rPr>
        <w:t>Phytologist</w:t>
      </w:r>
      <w:proofErr w:type="spellEnd"/>
      <w:r w:rsidRPr="00676E64">
        <w:rPr>
          <w:rFonts w:eastAsia="Times New Roman" w:cstheme="minorHAnsi"/>
          <w:lang w:val="en" w:eastAsia="en-GB"/>
        </w:rPr>
        <w:t>, 179: 595–614</w:t>
      </w:r>
    </w:p>
    <w:p w14:paraId="649ABED2" w14:textId="5E2A377F" w:rsidR="00356E61" w:rsidRPr="00356E61" w:rsidRDefault="00356E61" w:rsidP="00AD5138">
      <w:pPr>
        <w:rPr>
          <w:rFonts w:cstheme="minorHAnsi"/>
          <w:lang w:val="en-US"/>
        </w:rPr>
      </w:pPr>
      <w:r>
        <w:rPr>
          <w:rFonts w:cstheme="minorHAnsi"/>
          <w:b/>
          <w:bCs/>
          <w:lang w:val="en-US"/>
        </w:rPr>
        <w:t xml:space="preserve">Ousley, M.A., Lynch, J.A. and </w:t>
      </w:r>
      <w:proofErr w:type="spellStart"/>
      <w:r>
        <w:rPr>
          <w:rFonts w:cstheme="minorHAnsi"/>
          <w:b/>
          <w:bCs/>
          <w:lang w:val="en-US"/>
        </w:rPr>
        <w:t>Whipps</w:t>
      </w:r>
      <w:proofErr w:type="spellEnd"/>
      <w:r>
        <w:rPr>
          <w:rFonts w:cstheme="minorHAnsi"/>
          <w:b/>
          <w:bCs/>
          <w:lang w:val="en-US"/>
        </w:rPr>
        <w:t xml:space="preserve">, J.M. </w:t>
      </w:r>
      <w:r w:rsidRPr="00356E61">
        <w:rPr>
          <w:rFonts w:cstheme="minorHAnsi"/>
          <w:lang w:val="en-US"/>
        </w:rPr>
        <w:t>(1994).</w:t>
      </w:r>
      <w:r>
        <w:rPr>
          <w:rFonts w:cstheme="minorHAnsi"/>
          <w:b/>
          <w:bCs/>
          <w:lang w:val="en-US"/>
        </w:rPr>
        <w:t xml:space="preserve"> </w:t>
      </w:r>
      <w:r w:rsidRPr="00356E61">
        <w:rPr>
          <w:rFonts w:cstheme="minorHAnsi"/>
          <w:lang w:val="en-US"/>
        </w:rPr>
        <w:t xml:space="preserve">Potential of </w:t>
      </w:r>
      <w:r w:rsidRPr="008B6F4D">
        <w:rPr>
          <w:rFonts w:cstheme="minorHAnsi"/>
          <w:i/>
          <w:iCs/>
          <w:lang w:val="en-US"/>
        </w:rPr>
        <w:t>Trichoderma spp</w:t>
      </w:r>
      <w:r w:rsidRPr="00356E61">
        <w:rPr>
          <w:rFonts w:cstheme="minorHAnsi"/>
          <w:lang w:val="en-US"/>
        </w:rPr>
        <w:t xml:space="preserve">. </w:t>
      </w:r>
      <w:r w:rsidR="003D4742">
        <w:rPr>
          <w:rFonts w:cstheme="minorHAnsi"/>
          <w:lang w:val="en-US"/>
        </w:rPr>
        <w:t>a</w:t>
      </w:r>
      <w:r w:rsidRPr="00356E61">
        <w:rPr>
          <w:rFonts w:cstheme="minorHAnsi"/>
          <w:lang w:val="en-US"/>
        </w:rPr>
        <w:t xml:space="preserve">s consistent plant growth stimulators. </w:t>
      </w:r>
      <w:proofErr w:type="spellStart"/>
      <w:r>
        <w:rPr>
          <w:rFonts w:cstheme="minorHAnsi"/>
          <w:lang w:val="en-US"/>
        </w:rPr>
        <w:t>Biol.Fert.Soils</w:t>
      </w:r>
      <w:proofErr w:type="spellEnd"/>
      <w:r>
        <w:rPr>
          <w:rFonts w:cstheme="minorHAnsi"/>
          <w:lang w:val="en-US"/>
        </w:rPr>
        <w:t>, 17: 85-90.</w:t>
      </w:r>
    </w:p>
    <w:p w14:paraId="6787F688" w14:textId="3B4760AF" w:rsidR="00AD5138" w:rsidRPr="00676E64" w:rsidRDefault="007A78DE" w:rsidP="00AD5138">
      <w:pPr>
        <w:rPr>
          <w:rFonts w:cstheme="minorHAnsi"/>
          <w:lang w:val="en-US"/>
        </w:rPr>
      </w:pPr>
      <w:proofErr w:type="spellStart"/>
      <w:r w:rsidRPr="00676E64">
        <w:rPr>
          <w:rFonts w:cstheme="minorHAnsi"/>
          <w:b/>
          <w:bCs/>
          <w:lang w:val="en-US"/>
        </w:rPr>
        <w:t>Stasz</w:t>
      </w:r>
      <w:proofErr w:type="spellEnd"/>
      <w:r w:rsidRPr="00676E64">
        <w:rPr>
          <w:rFonts w:cstheme="minorHAnsi"/>
          <w:b/>
          <w:bCs/>
          <w:lang w:val="en-US"/>
        </w:rPr>
        <w:t>, T.E, Harman, G &amp; Weeden, N.F.</w:t>
      </w:r>
      <w:r w:rsidRPr="00676E64">
        <w:rPr>
          <w:rFonts w:cstheme="minorHAnsi"/>
          <w:lang w:val="en-US"/>
        </w:rPr>
        <w:t xml:space="preserve"> (19</w:t>
      </w:r>
      <w:r w:rsidR="00836AB6">
        <w:rPr>
          <w:rFonts w:cstheme="minorHAnsi"/>
          <w:lang w:val="en-US"/>
        </w:rPr>
        <w:t>8</w:t>
      </w:r>
      <w:r w:rsidRPr="00676E64">
        <w:rPr>
          <w:rFonts w:cstheme="minorHAnsi"/>
          <w:lang w:val="en-US"/>
        </w:rPr>
        <w:t xml:space="preserve">8). Protoplast </w:t>
      </w:r>
      <w:r w:rsidR="008B6F4D">
        <w:rPr>
          <w:rFonts w:cstheme="minorHAnsi"/>
          <w:lang w:val="en-US"/>
        </w:rPr>
        <w:t>p</w:t>
      </w:r>
      <w:r w:rsidRPr="00676E64">
        <w:rPr>
          <w:rFonts w:cstheme="minorHAnsi"/>
          <w:lang w:val="en-US"/>
        </w:rPr>
        <w:t xml:space="preserve">reparation and </w:t>
      </w:r>
      <w:r w:rsidR="008B6F4D">
        <w:rPr>
          <w:rFonts w:cstheme="minorHAnsi"/>
          <w:lang w:val="en-US"/>
        </w:rPr>
        <w:t>f</w:t>
      </w:r>
      <w:r w:rsidRPr="00676E64">
        <w:rPr>
          <w:rFonts w:cstheme="minorHAnsi"/>
          <w:lang w:val="en-US"/>
        </w:rPr>
        <w:t xml:space="preserve">usion in </w:t>
      </w:r>
      <w:r w:rsidR="008B6F4D">
        <w:rPr>
          <w:rFonts w:cstheme="minorHAnsi"/>
          <w:lang w:val="en-US"/>
        </w:rPr>
        <w:t>t</w:t>
      </w:r>
      <w:r w:rsidRPr="00676E64">
        <w:rPr>
          <w:rFonts w:cstheme="minorHAnsi"/>
          <w:lang w:val="en-US"/>
        </w:rPr>
        <w:t xml:space="preserve">wo </w:t>
      </w:r>
      <w:r w:rsidR="008B6F4D">
        <w:rPr>
          <w:rFonts w:cstheme="minorHAnsi"/>
          <w:lang w:val="en-US"/>
        </w:rPr>
        <w:t>b</w:t>
      </w:r>
      <w:r w:rsidRPr="00676E64">
        <w:rPr>
          <w:rFonts w:cstheme="minorHAnsi"/>
          <w:lang w:val="en-US"/>
        </w:rPr>
        <w:t xml:space="preserve">iocontrol </w:t>
      </w:r>
      <w:r w:rsidR="008B6F4D">
        <w:rPr>
          <w:rFonts w:cstheme="minorHAnsi"/>
          <w:lang w:val="en-US"/>
        </w:rPr>
        <w:t>s</w:t>
      </w:r>
      <w:r w:rsidRPr="00676E64">
        <w:rPr>
          <w:rFonts w:cstheme="minorHAnsi"/>
          <w:lang w:val="en-US"/>
        </w:rPr>
        <w:t xml:space="preserve">trains of </w:t>
      </w:r>
      <w:r w:rsidRPr="00E33D9A">
        <w:rPr>
          <w:rFonts w:cstheme="minorHAnsi"/>
          <w:i/>
          <w:iCs/>
          <w:lang w:val="en-US"/>
        </w:rPr>
        <w:t xml:space="preserve">Trichoderma </w:t>
      </w:r>
      <w:proofErr w:type="spellStart"/>
      <w:r w:rsidRPr="00E33D9A">
        <w:rPr>
          <w:rFonts w:cstheme="minorHAnsi"/>
          <w:i/>
          <w:iCs/>
          <w:lang w:val="en-US"/>
        </w:rPr>
        <w:t>harzianum</w:t>
      </w:r>
      <w:proofErr w:type="spellEnd"/>
      <w:r w:rsidRPr="00676E64">
        <w:rPr>
          <w:rFonts w:cstheme="minorHAnsi"/>
          <w:lang w:val="en-US"/>
        </w:rPr>
        <w:t xml:space="preserve">. </w:t>
      </w:r>
      <w:proofErr w:type="spellStart"/>
      <w:r w:rsidRPr="00676E64">
        <w:rPr>
          <w:rFonts w:cstheme="minorHAnsi"/>
          <w:lang w:val="en-US"/>
        </w:rPr>
        <w:t>Mycologia</w:t>
      </w:r>
      <w:proofErr w:type="spellEnd"/>
      <w:r w:rsidRPr="00676E64">
        <w:rPr>
          <w:rFonts w:cstheme="minorHAnsi"/>
          <w:lang w:val="en-US"/>
        </w:rPr>
        <w:t xml:space="preserve"> 80 (2): 141.</w:t>
      </w:r>
    </w:p>
    <w:p w14:paraId="48EBD1F4" w14:textId="39AD231E" w:rsidR="007A78DE" w:rsidRPr="00676E64" w:rsidRDefault="00CC594B" w:rsidP="007A78DE">
      <w:pPr>
        <w:rPr>
          <w:rFonts w:cstheme="minorHAnsi"/>
          <w:bCs/>
          <w:lang w:val="en-US"/>
        </w:rPr>
      </w:pPr>
      <w:proofErr w:type="spellStart"/>
      <w:r w:rsidRPr="00676E64">
        <w:rPr>
          <w:rFonts w:cstheme="minorHAnsi"/>
          <w:b/>
          <w:lang w:val="en-US"/>
        </w:rPr>
        <w:t>Vitti</w:t>
      </w:r>
      <w:proofErr w:type="spellEnd"/>
      <w:r w:rsidRPr="00676E64">
        <w:rPr>
          <w:rFonts w:cstheme="minorHAnsi"/>
          <w:b/>
          <w:lang w:val="en-US"/>
        </w:rPr>
        <w:t>,</w:t>
      </w:r>
      <w:r w:rsidR="005E2A82" w:rsidRPr="00676E64">
        <w:rPr>
          <w:rFonts w:cstheme="minorHAnsi"/>
          <w:b/>
          <w:lang w:val="en-US"/>
        </w:rPr>
        <w:t xml:space="preserve"> A., Pellegrini, E., </w:t>
      </w:r>
      <w:proofErr w:type="spellStart"/>
      <w:r w:rsidR="005E2A82" w:rsidRPr="00676E64">
        <w:rPr>
          <w:rFonts w:cstheme="minorHAnsi"/>
          <w:b/>
          <w:lang w:val="en-US"/>
        </w:rPr>
        <w:t>Nali</w:t>
      </w:r>
      <w:proofErr w:type="spellEnd"/>
      <w:r w:rsidR="005E2A82" w:rsidRPr="00676E64">
        <w:rPr>
          <w:rFonts w:cstheme="minorHAnsi"/>
          <w:b/>
          <w:lang w:val="en-US"/>
        </w:rPr>
        <w:t xml:space="preserve">, C., </w:t>
      </w:r>
      <w:proofErr w:type="spellStart"/>
      <w:r w:rsidR="005E2A82" w:rsidRPr="00676E64">
        <w:rPr>
          <w:rFonts w:cstheme="minorHAnsi"/>
          <w:b/>
          <w:lang w:val="en-US"/>
        </w:rPr>
        <w:t>Lovelli</w:t>
      </w:r>
      <w:proofErr w:type="spellEnd"/>
      <w:r w:rsidR="005E2A82" w:rsidRPr="00676E64">
        <w:rPr>
          <w:rFonts w:cstheme="minorHAnsi"/>
          <w:b/>
          <w:lang w:val="en-US"/>
        </w:rPr>
        <w:t xml:space="preserve">, S., </w:t>
      </w:r>
      <w:proofErr w:type="spellStart"/>
      <w:r w:rsidR="005E2A82" w:rsidRPr="00676E64">
        <w:rPr>
          <w:rFonts w:cstheme="minorHAnsi"/>
          <w:b/>
          <w:lang w:val="en-US"/>
        </w:rPr>
        <w:t>Sofo</w:t>
      </w:r>
      <w:proofErr w:type="spellEnd"/>
      <w:r w:rsidR="005E2A82" w:rsidRPr="00676E64">
        <w:rPr>
          <w:rFonts w:cstheme="minorHAnsi"/>
          <w:b/>
          <w:lang w:val="en-US"/>
        </w:rPr>
        <w:t xml:space="preserve">, A., Valerio, M., Scopa, A. and </w:t>
      </w:r>
      <w:proofErr w:type="spellStart"/>
      <w:r w:rsidR="005E2A82" w:rsidRPr="00676E64">
        <w:rPr>
          <w:rFonts w:cstheme="minorHAnsi"/>
          <w:b/>
          <w:lang w:val="en-US"/>
        </w:rPr>
        <w:t>Nuzzaci</w:t>
      </w:r>
      <w:proofErr w:type="spellEnd"/>
      <w:r w:rsidR="005E2A82" w:rsidRPr="00676E64">
        <w:rPr>
          <w:rFonts w:cstheme="minorHAnsi"/>
          <w:b/>
          <w:lang w:val="en-US"/>
        </w:rPr>
        <w:t>, M.</w:t>
      </w:r>
      <w:r w:rsidRPr="00676E64">
        <w:rPr>
          <w:rFonts w:cstheme="minorHAnsi"/>
          <w:bCs/>
          <w:lang w:val="en-US"/>
        </w:rPr>
        <w:t xml:space="preserve"> (2016) </w:t>
      </w:r>
      <w:r w:rsidRPr="00E33D9A">
        <w:rPr>
          <w:rFonts w:cstheme="minorHAnsi"/>
          <w:bCs/>
          <w:i/>
          <w:iCs/>
          <w:lang w:val="en-US"/>
        </w:rPr>
        <w:t>Trichoderma harzianum</w:t>
      </w:r>
      <w:r w:rsidRPr="00676E64">
        <w:rPr>
          <w:rFonts w:cstheme="minorHAnsi"/>
          <w:bCs/>
          <w:lang w:val="en-US"/>
        </w:rPr>
        <w:t xml:space="preserve"> T22 induces systemic resistance in tomato infected by cucumber mosaic virus. Frontiers in Plant Science, 7 (article 1520): 1-11</w:t>
      </w:r>
      <w:r w:rsidR="005E2A82" w:rsidRPr="00676E64">
        <w:rPr>
          <w:rFonts w:cstheme="minorHAnsi"/>
          <w:bCs/>
          <w:lang w:val="en-US"/>
        </w:rPr>
        <w:t>.</w:t>
      </w:r>
    </w:p>
    <w:p w14:paraId="08E9BC89" w14:textId="2B997AAE" w:rsidR="006A10B2" w:rsidRPr="00676E64" w:rsidRDefault="006A10B2" w:rsidP="006A10B2">
      <w:pPr>
        <w:rPr>
          <w:rFonts w:eastAsia="Times New Roman" w:cstheme="minorHAnsi"/>
          <w:lang w:val="en" w:eastAsia="en-GB"/>
        </w:rPr>
      </w:pPr>
      <w:r w:rsidRPr="00676E64">
        <w:rPr>
          <w:rFonts w:eastAsia="Times New Roman" w:cstheme="minorHAnsi"/>
          <w:b/>
          <w:bCs/>
          <w:lang w:val="en" w:eastAsia="en-GB"/>
        </w:rPr>
        <w:t>Zhao, Y</w:t>
      </w:r>
      <w:r w:rsidRPr="00676E64">
        <w:rPr>
          <w:rFonts w:eastAsia="Times New Roman" w:cstheme="minorHAnsi"/>
          <w:lang w:val="en" w:eastAsia="en-GB"/>
        </w:rPr>
        <w:t xml:space="preserve">. (2012). </w:t>
      </w:r>
      <w:r w:rsidRPr="00676E64">
        <w:rPr>
          <w:rFonts w:cstheme="minorHAnsi"/>
          <w:lang w:val="en"/>
        </w:rPr>
        <w:t xml:space="preserve">Auxin </w:t>
      </w:r>
      <w:r w:rsidR="008B6F4D">
        <w:rPr>
          <w:rFonts w:cstheme="minorHAnsi"/>
          <w:lang w:val="en"/>
        </w:rPr>
        <w:t>b</w:t>
      </w:r>
      <w:r w:rsidRPr="00676E64">
        <w:rPr>
          <w:rFonts w:cstheme="minorHAnsi"/>
          <w:lang w:val="en"/>
        </w:rPr>
        <w:t xml:space="preserve">iosynthesis: A </w:t>
      </w:r>
      <w:r w:rsidR="008B6F4D">
        <w:rPr>
          <w:rFonts w:cstheme="minorHAnsi"/>
          <w:lang w:val="en"/>
        </w:rPr>
        <w:t>s</w:t>
      </w:r>
      <w:r w:rsidRPr="00676E64">
        <w:rPr>
          <w:rFonts w:cstheme="minorHAnsi"/>
          <w:lang w:val="en"/>
        </w:rPr>
        <w:t xml:space="preserve">imple </w:t>
      </w:r>
      <w:r w:rsidR="008B6F4D">
        <w:rPr>
          <w:rFonts w:cstheme="minorHAnsi"/>
          <w:lang w:val="en"/>
        </w:rPr>
        <w:t>t</w:t>
      </w:r>
      <w:r w:rsidRPr="00676E64">
        <w:rPr>
          <w:rFonts w:cstheme="minorHAnsi"/>
          <w:lang w:val="en"/>
        </w:rPr>
        <w:t>wo-</w:t>
      </w:r>
      <w:r w:rsidR="008B6F4D">
        <w:rPr>
          <w:rFonts w:cstheme="minorHAnsi"/>
          <w:lang w:val="en"/>
        </w:rPr>
        <w:t>s</w:t>
      </w:r>
      <w:r w:rsidRPr="00676E64">
        <w:rPr>
          <w:rFonts w:cstheme="minorHAnsi"/>
          <w:lang w:val="en"/>
        </w:rPr>
        <w:t xml:space="preserve">tep </w:t>
      </w:r>
      <w:r w:rsidR="008B6F4D">
        <w:rPr>
          <w:rFonts w:cstheme="minorHAnsi"/>
          <w:lang w:val="en"/>
        </w:rPr>
        <w:t>p</w:t>
      </w:r>
      <w:r w:rsidRPr="00676E64">
        <w:rPr>
          <w:rFonts w:cstheme="minorHAnsi"/>
          <w:lang w:val="en"/>
        </w:rPr>
        <w:t xml:space="preserve">athway </w:t>
      </w:r>
      <w:r w:rsidR="008B6F4D">
        <w:rPr>
          <w:rFonts w:cstheme="minorHAnsi"/>
          <w:lang w:val="en"/>
        </w:rPr>
        <w:t>c</w:t>
      </w:r>
      <w:r w:rsidRPr="00676E64">
        <w:rPr>
          <w:rFonts w:cstheme="minorHAnsi"/>
          <w:lang w:val="en"/>
        </w:rPr>
        <w:t xml:space="preserve">onverts </w:t>
      </w:r>
      <w:r w:rsidR="008B6F4D">
        <w:rPr>
          <w:rFonts w:cstheme="minorHAnsi"/>
          <w:lang w:val="en"/>
        </w:rPr>
        <w:t>t</w:t>
      </w:r>
      <w:r w:rsidRPr="00676E64">
        <w:rPr>
          <w:rFonts w:cstheme="minorHAnsi"/>
          <w:lang w:val="en"/>
        </w:rPr>
        <w:t xml:space="preserve">ryptophan to </w:t>
      </w:r>
      <w:r w:rsidR="008B6F4D">
        <w:rPr>
          <w:rFonts w:cstheme="minorHAnsi"/>
          <w:lang w:val="en"/>
        </w:rPr>
        <w:t>i</w:t>
      </w:r>
      <w:r w:rsidRPr="00676E64">
        <w:rPr>
          <w:rFonts w:cstheme="minorHAnsi"/>
          <w:lang w:val="en"/>
        </w:rPr>
        <w:t>ndole-3-</w:t>
      </w:r>
      <w:r w:rsidR="008B6F4D">
        <w:rPr>
          <w:rFonts w:cstheme="minorHAnsi"/>
          <w:lang w:val="en"/>
        </w:rPr>
        <w:t>a</w:t>
      </w:r>
      <w:r w:rsidRPr="00676E64">
        <w:rPr>
          <w:rFonts w:cstheme="minorHAnsi"/>
          <w:lang w:val="en"/>
        </w:rPr>
        <w:t xml:space="preserve">cetic </w:t>
      </w:r>
      <w:r w:rsidR="008B6F4D">
        <w:rPr>
          <w:rFonts w:cstheme="minorHAnsi"/>
          <w:lang w:val="en"/>
        </w:rPr>
        <w:t>a</w:t>
      </w:r>
      <w:r w:rsidRPr="00676E64">
        <w:rPr>
          <w:rFonts w:cstheme="minorHAnsi"/>
          <w:lang w:val="en"/>
        </w:rPr>
        <w:t xml:space="preserve">cid in </w:t>
      </w:r>
      <w:r w:rsidR="008B6F4D">
        <w:rPr>
          <w:rFonts w:cstheme="minorHAnsi"/>
          <w:lang w:val="en"/>
        </w:rPr>
        <w:t>p</w:t>
      </w:r>
      <w:r w:rsidRPr="00676E64">
        <w:rPr>
          <w:rFonts w:cstheme="minorHAnsi"/>
          <w:lang w:val="en"/>
        </w:rPr>
        <w:t xml:space="preserve">lants. </w:t>
      </w:r>
      <w:r w:rsidRPr="00676E64">
        <w:rPr>
          <w:rFonts w:eastAsia="Times New Roman" w:cstheme="minorHAnsi"/>
          <w:lang w:val="en" w:eastAsia="en-GB"/>
        </w:rPr>
        <w:t xml:space="preserve">Molecular Plant, 5(2): 334–338. </w:t>
      </w:r>
    </w:p>
    <w:p w14:paraId="44B02215" w14:textId="2AEB8E53" w:rsidR="00860C78" w:rsidRPr="00676E64" w:rsidRDefault="00860C78">
      <w:pPr>
        <w:rPr>
          <w:rFonts w:cstheme="minorHAnsi"/>
          <w:lang w:val="en-US"/>
        </w:rPr>
      </w:pPr>
    </w:p>
    <w:sectPr w:rsidR="00860C78" w:rsidRPr="00676E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F1867"/>
    <w:multiLevelType w:val="multilevel"/>
    <w:tmpl w:val="B7D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43F0E"/>
    <w:multiLevelType w:val="multilevel"/>
    <w:tmpl w:val="7606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40205"/>
    <w:multiLevelType w:val="hybridMultilevel"/>
    <w:tmpl w:val="61A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175581"/>
    <w:multiLevelType w:val="multilevel"/>
    <w:tmpl w:val="FC088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74B"/>
    <w:rsid w:val="0000143A"/>
    <w:rsid w:val="00003165"/>
    <w:rsid w:val="0001398B"/>
    <w:rsid w:val="0001555A"/>
    <w:rsid w:val="00015D2F"/>
    <w:rsid w:val="00016C7B"/>
    <w:rsid w:val="00022337"/>
    <w:rsid w:val="00031C67"/>
    <w:rsid w:val="000336B7"/>
    <w:rsid w:val="000447A4"/>
    <w:rsid w:val="00046095"/>
    <w:rsid w:val="000512C1"/>
    <w:rsid w:val="00051949"/>
    <w:rsid w:val="00051BEE"/>
    <w:rsid w:val="000547CA"/>
    <w:rsid w:val="00064643"/>
    <w:rsid w:val="00064CB6"/>
    <w:rsid w:val="00066176"/>
    <w:rsid w:val="00070D90"/>
    <w:rsid w:val="0007712F"/>
    <w:rsid w:val="00083B59"/>
    <w:rsid w:val="00085FE9"/>
    <w:rsid w:val="0008695A"/>
    <w:rsid w:val="00092463"/>
    <w:rsid w:val="000953A9"/>
    <w:rsid w:val="00096748"/>
    <w:rsid w:val="000A7239"/>
    <w:rsid w:val="000B4F38"/>
    <w:rsid w:val="000B7633"/>
    <w:rsid w:val="000C4E3F"/>
    <w:rsid w:val="000C5F38"/>
    <w:rsid w:val="000C5F5B"/>
    <w:rsid w:val="000D0AC2"/>
    <w:rsid w:val="000D3A45"/>
    <w:rsid w:val="000D3B6A"/>
    <w:rsid w:val="000D4B23"/>
    <w:rsid w:val="000D6729"/>
    <w:rsid w:val="00103DAD"/>
    <w:rsid w:val="00107789"/>
    <w:rsid w:val="00107CA5"/>
    <w:rsid w:val="001104EA"/>
    <w:rsid w:val="00110856"/>
    <w:rsid w:val="00113D73"/>
    <w:rsid w:val="00115306"/>
    <w:rsid w:val="00120029"/>
    <w:rsid w:val="00125A9F"/>
    <w:rsid w:val="00125D71"/>
    <w:rsid w:val="00130C9F"/>
    <w:rsid w:val="00131F83"/>
    <w:rsid w:val="0013458A"/>
    <w:rsid w:val="00143E34"/>
    <w:rsid w:val="00152435"/>
    <w:rsid w:val="00157CE2"/>
    <w:rsid w:val="00161444"/>
    <w:rsid w:val="00161EFA"/>
    <w:rsid w:val="00162982"/>
    <w:rsid w:val="001659E5"/>
    <w:rsid w:val="00166F31"/>
    <w:rsid w:val="0016727D"/>
    <w:rsid w:val="0017604C"/>
    <w:rsid w:val="00183CCC"/>
    <w:rsid w:val="00185276"/>
    <w:rsid w:val="00185E00"/>
    <w:rsid w:val="00192557"/>
    <w:rsid w:val="0019595C"/>
    <w:rsid w:val="001A5DA3"/>
    <w:rsid w:val="001A660F"/>
    <w:rsid w:val="001B04E3"/>
    <w:rsid w:val="001C1527"/>
    <w:rsid w:val="001C26CA"/>
    <w:rsid w:val="001D75FE"/>
    <w:rsid w:val="001E47E4"/>
    <w:rsid w:val="001E4C43"/>
    <w:rsid w:val="001E4EF7"/>
    <w:rsid w:val="001F0B81"/>
    <w:rsid w:val="001F23E4"/>
    <w:rsid w:val="001F243E"/>
    <w:rsid w:val="00205A6E"/>
    <w:rsid w:val="00212E7E"/>
    <w:rsid w:val="002134E1"/>
    <w:rsid w:val="002139CF"/>
    <w:rsid w:val="002148DE"/>
    <w:rsid w:val="00214F04"/>
    <w:rsid w:val="0022007A"/>
    <w:rsid w:val="0022045E"/>
    <w:rsid w:val="002225F1"/>
    <w:rsid w:val="00225842"/>
    <w:rsid w:val="002261DF"/>
    <w:rsid w:val="002269DA"/>
    <w:rsid w:val="00233D89"/>
    <w:rsid w:val="002451A7"/>
    <w:rsid w:val="0025026C"/>
    <w:rsid w:val="00261E33"/>
    <w:rsid w:val="002644EF"/>
    <w:rsid w:val="00271211"/>
    <w:rsid w:val="00272791"/>
    <w:rsid w:val="002774D8"/>
    <w:rsid w:val="00280F85"/>
    <w:rsid w:val="00291E4B"/>
    <w:rsid w:val="00293634"/>
    <w:rsid w:val="002A074A"/>
    <w:rsid w:val="002A1412"/>
    <w:rsid w:val="002A2E6B"/>
    <w:rsid w:val="002B2D88"/>
    <w:rsid w:val="002B4EBF"/>
    <w:rsid w:val="002C2D37"/>
    <w:rsid w:val="002E0AF1"/>
    <w:rsid w:val="002F120C"/>
    <w:rsid w:val="002F1E07"/>
    <w:rsid w:val="002F4A2C"/>
    <w:rsid w:val="002F4BA6"/>
    <w:rsid w:val="002F6CE5"/>
    <w:rsid w:val="002F707C"/>
    <w:rsid w:val="003007C8"/>
    <w:rsid w:val="00316764"/>
    <w:rsid w:val="00316FA8"/>
    <w:rsid w:val="003229C6"/>
    <w:rsid w:val="00323E39"/>
    <w:rsid w:val="003277CF"/>
    <w:rsid w:val="003302F9"/>
    <w:rsid w:val="0033069A"/>
    <w:rsid w:val="00331135"/>
    <w:rsid w:val="003314C7"/>
    <w:rsid w:val="00333629"/>
    <w:rsid w:val="00334DB8"/>
    <w:rsid w:val="00335B55"/>
    <w:rsid w:val="00335EFA"/>
    <w:rsid w:val="00337C89"/>
    <w:rsid w:val="00347573"/>
    <w:rsid w:val="00352040"/>
    <w:rsid w:val="00355EC8"/>
    <w:rsid w:val="0035695A"/>
    <w:rsid w:val="00356E61"/>
    <w:rsid w:val="00360D69"/>
    <w:rsid w:val="00370446"/>
    <w:rsid w:val="00370CD9"/>
    <w:rsid w:val="00377EFE"/>
    <w:rsid w:val="00386271"/>
    <w:rsid w:val="003908D4"/>
    <w:rsid w:val="0039441E"/>
    <w:rsid w:val="003A7B40"/>
    <w:rsid w:val="003B39B0"/>
    <w:rsid w:val="003C087F"/>
    <w:rsid w:val="003C18C8"/>
    <w:rsid w:val="003C43B7"/>
    <w:rsid w:val="003D1AA1"/>
    <w:rsid w:val="003D4742"/>
    <w:rsid w:val="003D517C"/>
    <w:rsid w:val="003D73FF"/>
    <w:rsid w:val="003E7214"/>
    <w:rsid w:val="003F14C1"/>
    <w:rsid w:val="003F393D"/>
    <w:rsid w:val="004045A5"/>
    <w:rsid w:val="00404F52"/>
    <w:rsid w:val="004054A3"/>
    <w:rsid w:val="00406CD9"/>
    <w:rsid w:val="00406ED8"/>
    <w:rsid w:val="00417D9B"/>
    <w:rsid w:val="00422B38"/>
    <w:rsid w:val="00424A1C"/>
    <w:rsid w:val="00427C70"/>
    <w:rsid w:val="0043194A"/>
    <w:rsid w:val="00442136"/>
    <w:rsid w:val="00445893"/>
    <w:rsid w:val="00445F20"/>
    <w:rsid w:val="0044749E"/>
    <w:rsid w:val="00454027"/>
    <w:rsid w:val="0045425D"/>
    <w:rsid w:val="0045543B"/>
    <w:rsid w:val="00455E7E"/>
    <w:rsid w:val="00457760"/>
    <w:rsid w:val="00473779"/>
    <w:rsid w:val="00485E13"/>
    <w:rsid w:val="0048629B"/>
    <w:rsid w:val="00493402"/>
    <w:rsid w:val="004973BE"/>
    <w:rsid w:val="004973C2"/>
    <w:rsid w:val="004A6CB1"/>
    <w:rsid w:val="004B0103"/>
    <w:rsid w:val="004B04A4"/>
    <w:rsid w:val="004B401A"/>
    <w:rsid w:val="004C1495"/>
    <w:rsid w:val="004C6AC7"/>
    <w:rsid w:val="004D0474"/>
    <w:rsid w:val="004D2E76"/>
    <w:rsid w:val="004E53E1"/>
    <w:rsid w:val="004E6A25"/>
    <w:rsid w:val="004E6FC9"/>
    <w:rsid w:val="004F2B56"/>
    <w:rsid w:val="004F3AA3"/>
    <w:rsid w:val="004F4955"/>
    <w:rsid w:val="00512124"/>
    <w:rsid w:val="0051316A"/>
    <w:rsid w:val="00521856"/>
    <w:rsid w:val="00523465"/>
    <w:rsid w:val="0052385D"/>
    <w:rsid w:val="00532325"/>
    <w:rsid w:val="005334D3"/>
    <w:rsid w:val="00540237"/>
    <w:rsid w:val="005546B9"/>
    <w:rsid w:val="00567BC1"/>
    <w:rsid w:val="005718C7"/>
    <w:rsid w:val="0057649F"/>
    <w:rsid w:val="005775F4"/>
    <w:rsid w:val="00580AC4"/>
    <w:rsid w:val="00585FC8"/>
    <w:rsid w:val="00586D82"/>
    <w:rsid w:val="00592BA5"/>
    <w:rsid w:val="00594596"/>
    <w:rsid w:val="00594836"/>
    <w:rsid w:val="00595224"/>
    <w:rsid w:val="005A58A0"/>
    <w:rsid w:val="005A5969"/>
    <w:rsid w:val="005B156E"/>
    <w:rsid w:val="005B2235"/>
    <w:rsid w:val="005B2A99"/>
    <w:rsid w:val="005B4623"/>
    <w:rsid w:val="005B49A6"/>
    <w:rsid w:val="005C5E31"/>
    <w:rsid w:val="005C74AE"/>
    <w:rsid w:val="005D5227"/>
    <w:rsid w:val="005E2A82"/>
    <w:rsid w:val="005E511A"/>
    <w:rsid w:val="006113FC"/>
    <w:rsid w:val="006116F7"/>
    <w:rsid w:val="006117B6"/>
    <w:rsid w:val="0064029D"/>
    <w:rsid w:val="00641FC5"/>
    <w:rsid w:val="00652AAF"/>
    <w:rsid w:val="00657C52"/>
    <w:rsid w:val="00664FE1"/>
    <w:rsid w:val="006650A0"/>
    <w:rsid w:val="00667139"/>
    <w:rsid w:val="00670BEA"/>
    <w:rsid w:val="00671643"/>
    <w:rsid w:val="00676E64"/>
    <w:rsid w:val="0068193F"/>
    <w:rsid w:val="006834BC"/>
    <w:rsid w:val="006A10B2"/>
    <w:rsid w:val="006A56DA"/>
    <w:rsid w:val="006B08D6"/>
    <w:rsid w:val="006B2D32"/>
    <w:rsid w:val="006B4460"/>
    <w:rsid w:val="006B6765"/>
    <w:rsid w:val="006C1B62"/>
    <w:rsid w:val="006C502B"/>
    <w:rsid w:val="006C730B"/>
    <w:rsid w:val="006C7A26"/>
    <w:rsid w:val="006E2571"/>
    <w:rsid w:val="006E798C"/>
    <w:rsid w:val="006F2292"/>
    <w:rsid w:val="00710E67"/>
    <w:rsid w:val="007204CB"/>
    <w:rsid w:val="00722621"/>
    <w:rsid w:val="00723831"/>
    <w:rsid w:val="0072446E"/>
    <w:rsid w:val="0072643A"/>
    <w:rsid w:val="0073065B"/>
    <w:rsid w:val="00731A77"/>
    <w:rsid w:val="00734119"/>
    <w:rsid w:val="00734E58"/>
    <w:rsid w:val="00742111"/>
    <w:rsid w:val="00754F20"/>
    <w:rsid w:val="00760074"/>
    <w:rsid w:val="007601FE"/>
    <w:rsid w:val="00761770"/>
    <w:rsid w:val="00766A42"/>
    <w:rsid w:val="00776A0E"/>
    <w:rsid w:val="0078195B"/>
    <w:rsid w:val="00795991"/>
    <w:rsid w:val="007A2FA1"/>
    <w:rsid w:val="007A33D0"/>
    <w:rsid w:val="007A41D4"/>
    <w:rsid w:val="007A4943"/>
    <w:rsid w:val="007A6631"/>
    <w:rsid w:val="007A78DE"/>
    <w:rsid w:val="007B5D2F"/>
    <w:rsid w:val="007B7FB7"/>
    <w:rsid w:val="007C2724"/>
    <w:rsid w:val="007C3EA1"/>
    <w:rsid w:val="007E47ED"/>
    <w:rsid w:val="007E549D"/>
    <w:rsid w:val="007F35A0"/>
    <w:rsid w:val="007F7A3B"/>
    <w:rsid w:val="00807D3E"/>
    <w:rsid w:val="008100BE"/>
    <w:rsid w:val="00813598"/>
    <w:rsid w:val="008206C3"/>
    <w:rsid w:val="00820A26"/>
    <w:rsid w:val="008213D1"/>
    <w:rsid w:val="00836AB6"/>
    <w:rsid w:val="008370EA"/>
    <w:rsid w:val="00844606"/>
    <w:rsid w:val="00844AB6"/>
    <w:rsid w:val="008454D4"/>
    <w:rsid w:val="00850D3B"/>
    <w:rsid w:val="00860C78"/>
    <w:rsid w:val="00860DE8"/>
    <w:rsid w:val="0086739B"/>
    <w:rsid w:val="00870348"/>
    <w:rsid w:val="00871317"/>
    <w:rsid w:val="0089405D"/>
    <w:rsid w:val="00897986"/>
    <w:rsid w:val="008B1709"/>
    <w:rsid w:val="008B1900"/>
    <w:rsid w:val="008B55BC"/>
    <w:rsid w:val="008B6F4D"/>
    <w:rsid w:val="008C1D32"/>
    <w:rsid w:val="008D0175"/>
    <w:rsid w:val="008D0E82"/>
    <w:rsid w:val="008D5F5C"/>
    <w:rsid w:val="008E0179"/>
    <w:rsid w:val="008F4D96"/>
    <w:rsid w:val="00901A27"/>
    <w:rsid w:val="009052D1"/>
    <w:rsid w:val="00906BED"/>
    <w:rsid w:val="00911AC0"/>
    <w:rsid w:val="00923260"/>
    <w:rsid w:val="0092346D"/>
    <w:rsid w:val="00923727"/>
    <w:rsid w:val="00926909"/>
    <w:rsid w:val="009307D5"/>
    <w:rsid w:val="00937FAA"/>
    <w:rsid w:val="0094545D"/>
    <w:rsid w:val="00953E38"/>
    <w:rsid w:val="009579CE"/>
    <w:rsid w:val="00960373"/>
    <w:rsid w:val="00961B3F"/>
    <w:rsid w:val="00966A36"/>
    <w:rsid w:val="00967CAE"/>
    <w:rsid w:val="00971362"/>
    <w:rsid w:val="00972EA5"/>
    <w:rsid w:val="009732C2"/>
    <w:rsid w:val="0097332E"/>
    <w:rsid w:val="00975B59"/>
    <w:rsid w:val="00976D5B"/>
    <w:rsid w:val="009945FF"/>
    <w:rsid w:val="009A2F2D"/>
    <w:rsid w:val="009A4A34"/>
    <w:rsid w:val="009A4AF4"/>
    <w:rsid w:val="009A4EE3"/>
    <w:rsid w:val="009B10B1"/>
    <w:rsid w:val="009B6B1B"/>
    <w:rsid w:val="009C0A38"/>
    <w:rsid w:val="009C0D9C"/>
    <w:rsid w:val="009C21E5"/>
    <w:rsid w:val="009C4F6B"/>
    <w:rsid w:val="009D0D7B"/>
    <w:rsid w:val="009D1F0F"/>
    <w:rsid w:val="009D4B1B"/>
    <w:rsid w:val="009E2953"/>
    <w:rsid w:val="009E77C0"/>
    <w:rsid w:val="009F2E02"/>
    <w:rsid w:val="009F6731"/>
    <w:rsid w:val="009F6E16"/>
    <w:rsid w:val="00A04D11"/>
    <w:rsid w:val="00A141B9"/>
    <w:rsid w:val="00A14CF0"/>
    <w:rsid w:val="00A15341"/>
    <w:rsid w:val="00A16A0C"/>
    <w:rsid w:val="00A226C1"/>
    <w:rsid w:val="00A27DC8"/>
    <w:rsid w:val="00A30EB6"/>
    <w:rsid w:val="00A34C86"/>
    <w:rsid w:val="00A401D7"/>
    <w:rsid w:val="00A424D9"/>
    <w:rsid w:val="00A52ADE"/>
    <w:rsid w:val="00A5390E"/>
    <w:rsid w:val="00A551C9"/>
    <w:rsid w:val="00A665F8"/>
    <w:rsid w:val="00A70536"/>
    <w:rsid w:val="00A72311"/>
    <w:rsid w:val="00A74D57"/>
    <w:rsid w:val="00A76D8F"/>
    <w:rsid w:val="00A8200F"/>
    <w:rsid w:val="00A906AD"/>
    <w:rsid w:val="00AA2154"/>
    <w:rsid w:val="00AB22E9"/>
    <w:rsid w:val="00AC2A4F"/>
    <w:rsid w:val="00AC7E50"/>
    <w:rsid w:val="00AD3F70"/>
    <w:rsid w:val="00AD5138"/>
    <w:rsid w:val="00AD5768"/>
    <w:rsid w:val="00AD7477"/>
    <w:rsid w:val="00AE0732"/>
    <w:rsid w:val="00AE41B0"/>
    <w:rsid w:val="00AF5E25"/>
    <w:rsid w:val="00AF6BB9"/>
    <w:rsid w:val="00AF75DC"/>
    <w:rsid w:val="00B03A89"/>
    <w:rsid w:val="00B0505A"/>
    <w:rsid w:val="00B10880"/>
    <w:rsid w:val="00B16A63"/>
    <w:rsid w:val="00B17415"/>
    <w:rsid w:val="00B201C9"/>
    <w:rsid w:val="00B23DBC"/>
    <w:rsid w:val="00B33A8B"/>
    <w:rsid w:val="00B40466"/>
    <w:rsid w:val="00B415D2"/>
    <w:rsid w:val="00B43A7C"/>
    <w:rsid w:val="00B46623"/>
    <w:rsid w:val="00B47492"/>
    <w:rsid w:val="00B47568"/>
    <w:rsid w:val="00B53AEB"/>
    <w:rsid w:val="00B643EE"/>
    <w:rsid w:val="00B649B0"/>
    <w:rsid w:val="00B65709"/>
    <w:rsid w:val="00B745D2"/>
    <w:rsid w:val="00B7744F"/>
    <w:rsid w:val="00B83788"/>
    <w:rsid w:val="00B83869"/>
    <w:rsid w:val="00B86F9C"/>
    <w:rsid w:val="00BA5E35"/>
    <w:rsid w:val="00BB4461"/>
    <w:rsid w:val="00BB46D1"/>
    <w:rsid w:val="00BB4AA0"/>
    <w:rsid w:val="00BB4C8D"/>
    <w:rsid w:val="00BB57B5"/>
    <w:rsid w:val="00BC00CE"/>
    <w:rsid w:val="00BC4840"/>
    <w:rsid w:val="00BD4166"/>
    <w:rsid w:val="00BD5E05"/>
    <w:rsid w:val="00BE1F91"/>
    <w:rsid w:val="00BE3891"/>
    <w:rsid w:val="00BE3D99"/>
    <w:rsid w:val="00BE739D"/>
    <w:rsid w:val="00BE7D75"/>
    <w:rsid w:val="00BF2484"/>
    <w:rsid w:val="00BF35E2"/>
    <w:rsid w:val="00BF4AB1"/>
    <w:rsid w:val="00C00575"/>
    <w:rsid w:val="00C02467"/>
    <w:rsid w:val="00C155C4"/>
    <w:rsid w:val="00C24597"/>
    <w:rsid w:val="00C2574B"/>
    <w:rsid w:val="00C32CDD"/>
    <w:rsid w:val="00C372B3"/>
    <w:rsid w:val="00C46123"/>
    <w:rsid w:val="00C63B0E"/>
    <w:rsid w:val="00C65F69"/>
    <w:rsid w:val="00C7313D"/>
    <w:rsid w:val="00C743C3"/>
    <w:rsid w:val="00C76F4C"/>
    <w:rsid w:val="00C8168F"/>
    <w:rsid w:val="00C915D7"/>
    <w:rsid w:val="00CA14FB"/>
    <w:rsid w:val="00CA3E04"/>
    <w:rsid w:val="00CA5D87"/>
    <w:rsid w:val="00CA61AE"/>
    <w:rsid w:val="00CA70CE"/>
    <w:rsid w:val="00CA7471"/>
    <w:rsid w:val="00CB5F00"/>
    <w:rsid w:val="00CC0162"/>
    <w:rsid w:val="00CC4DDF"/>
    <w:rsid w:val="00CC568E"/>
    <w:rsid w:val="00CC594B"/>
    <w:rsid w:val="00CD0357"/>
    <w:rsid w:val="00CD6629"/>
    <w:rsid w:val="00CE0FBC"/>
    <w:rsid w:val="00CE15BE"/>
    <w:rsid w:val="00CE6DD0"/>
    <w:rsid w:val="00CF1F0C"/>
    <w:rsid w:val="00D00628"/>
    <w:rsid w:val="00D0544D"/>
    <w:rsid w:val="00D076DF"/>
    <w:rsid w:val="00D113B0"/>
    <w:rsid w:val="00D21D5A"/>
    <w:rsid w:val="00D231B7"/>
    <w:rsid w:val="00D271EA"/>
    <w:rsid w:val="00D46249"/>
    <w:rsid w:val="00D473BC"/>
    <w:rsid w:val="00D51678"/>
    <w:rsid w:val="00D5268F"/>
    <w:rsid w:val="00D52FB8"/>
    <w:rsid w:val="00D53641"/>
    <w:rsid w:val="00D603DA"/>
    <w:rsid w:val="00D61DA5"/>
    <w:rsid w:val="00D704D2"/>
    <w:rsid w:val="00D80674"/>
    <w:rsid w:val="00D81311"/>
    <w:rsid w:val="00D833FC"/>
    <w:rsid w:val="00D91D64"/>
    <w:rsid w:val="00D9561E"/>
    <w:rsid w:val="00D967FE"/>
    <w:rsid w:val="00DA02EA"/>
    <w:rsid w:val="00DA16AF"/>
    <w:rsid w:val="00DA4F59"/>
    <w:rsid w:val="00DA6DA8"/>
    <w:rsid w:val="00DB021D"/>
    <w:rsid w:val="00DB3ECF"/>
    <w:rsid w:val="00DB7342"/>
    <w:rsid w:val="00DC077F"/>
    <w:rsid w:val="00DC2862"/>
    <w:rsid w:val="00DC4508"/>
    <w:rsid w:val="00DD5CB4"/>
    <w:rsid w:val="00DE5404"/>
    <w:rsid w:val="00DF4B32"/>
    <w:rsid w:val="00DF73CC"/>
    <w:rsid w:val="00DF7ECE"/>
    <w:rsid w:val="00E054E8"/>
    <w:rsid w:val="00E10838"/>
    <w:rsid w:val="00E14543"/>
    <w:rsid w:val="00E14551"/>
    <w:rsid w:val="00E1577A"/>
    <w:rsid w:val="00E317AA"/>
    <w:rsid w:val="00E33497"/>
    <w:rsid w:val="00E33B05"/>
    <w:rsid w:val="00E33D9A"/>
    <w:rsid w:val="00E4124A"/>
    <w:rsid w:val="00E515A7"/>
    <w:rsid w:val="00E67A28"/>
    <w:rsid w:val="00E710EA"/>
    <w:rsid w:val="00E7262F"/>
    <w:rsid w:val="00E73D4B"/>
    <w:rsid w:val="00E83644"/>
    <w:rsid w:val="00E90BF3"/>
    <w:rsid w:val="00E9564A"/>
    <w:rsid w:val="00EA2594"/>
    <w:rsid w:val="00EA3F29"/>
    <w:rsid w:val="00EA52A8"/>
    <w:rsid w:val="00EA5F88"/>
    <w:rsid w:val="00EA64EB"/>
    <w:rsid w:val="00EB0B4D"/>
    <w:rsid w:val="00EB467E"/>
    <w:rsid w:val="00EB5706"/>
    <w:rsid w:val="00EC5AC7"/>
    <w:rsid w:val="00EE7B62"/>
    <w:rsid w:val="00EF2DCC"/>
    <w:rsid w:val="00F0325F"/>
    <w:rsid w:val="00F04848"/>
    <w:rsid w:val="00F04BA0"/>
    <w:rsid w:val="00F130D1"/>
    <w:rsid w:val="00F13AD4"/>
    <w:rsid w:val="00F15C5F"/>
    <w:rsid w:val="00F160F0"/>
    <w:rsid w:val="00F17F8C"/>
    <w:rsid w:val="00F209B5"/>
    <w:rsid w:val="00F32BD5"/>
    <w:rsid w:val="00F4163F"/>
    <w:rsid w:val="00F4482F"/>
    <w:rsid w:val="00F46DDF"/>
    <w:rsid w:val="00F630BD"/>
    <w:rsid w:val="00F7090A"/>
    <w:rsid w:val="00F71924"/>
    <w:rsid w:val="00F82811"/>
    <w:rsid w:val="00F87905"/>
    <w:rsid w:val="00FA3371"/>
    <w:rsid w:val="00FA5AE5"/>
    <w:rsid w:val="00FA6079"/>
    <w:rsid w:val="00FB02BE"/>
    <w:rsid w:val="00FB2AD6"/>
    <w:rsid w:val="00FB4E08"/>
    <w:rsid w:val="00FB514F"/>
    <w:rsid w:val="00FC03C8"/>
    <w:rsid w:val="00FC28B7"/>
    <w:rsid w:val="00FC70EE"/>
    <w:rsid w:val="00FD1654"/>
    <w:rsid w:val="00FD1F5F"/>
    <w:rsid w:val="00FF7080"/>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ADB85"/>
  <w15:chartTrackingRefBased/>
  <w15:docId w15:val="{5927071F-7CDC-46A3-85E8-D4C6BB5C4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7CE2"/>
    <w:rPr>
      <w:i/>
      <w:iCs/>
    </w:rPr>
  </w:style>
  <w:style w:type="paragraph" w:styleId="BalloonText">
    <w:name w:val="Balloon Text"/>
    <w:basedOn w:val="Normal"/>
    <w:link w:val="BalloonTextChar"/>
    <w:uiPriority w:val="99"/>
    <w:semiHidden/>
    <w:unhideWhenUsed/>
    <w:rsid w:val="00AD5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138"/>
    <w:rPr>
      <w:rFonts w:ascii="Segoe UI" w:hAnsi="Segoe UI" w:cs="Segoe UI"/>
      <w:sz w:val="18"/>
      <w:szCs w:val="18"/>
    </w:rPr>
  </w:style>
  <w:style w:type="paragraph" w:styleId="ListParagraph">
    <w:name w:val="List Paragraph"/>
    <w:basedOn w:val="Normal"/>
    <w:uiPriority w:val="34"/>
    <w:qFormat/>
    <w:rsid w:val="00D473BC"/>
    <w:pPr>
      <w:ind w:left="720"/>
      <w:contextualSpacing/>
    </w:pPr>
  </w:style>
  <w:style w:type="character" w:styleId="Hyperlink">
    <w:name w:val="Hyperlink"/>
    <w:basedOn w:val="DefaultParagraphFont"/>
    <w:uiPriority w:val="99"/>
    <w:unhideWhenUsed/>
    <w:rsid w:val="00E515A7"/>
    <w:rPr>
      <w:color w:val="0563C1" w:themeColor="hyperlink"/>
      <w:u w:val="single"/>
    </w:rPr>
  </w:style>
  <w:style w:type="character" w:customStyle="1" w:styleId="UnresolvedMention1">
    <w:name w:val="Unresolved Mention1"/>
    <w:basedOn w:val="DefaultParagraphFont"/>
    <w:uiPriority w:val="99"/>
    <w:semiHidden/>
    <w:unhideWhenUsed/>
    <w:rsid w:val="00E515A7"/>
    <w:rPr>
      <w:color w:val="605E5C"/>
      <w:shd w:val="clear" w:color="auto" w:fill="E1DFDD"/>
    </w:rPr>
  </w:style>
  <w:style w:type="character" w:styleId="CommentReference">
    <w:name w:val="annotation reference"/>
    <w:basedOn w:val="DefaultParagraphFont"/>
    <w:uiPriority w:val="99"/>
    <w:semiHidden/>
    <w:unhideWhenUsed/>
    <w:rsid w:val="00971362"/>
    <w:rPr>
      <w:sz w:val="16"/>
      <w:szCs w:val="16"/>
    </w:rPr>
  </w:style>
  <w:style w:type="paragraph" w:styleId="CommentText">
    <w:name w:val="annotation text"/>
    <w:basedOn w:val="Normal"/>
    <w:link w:val="CommentTextChar"/>
    <w:uiPriority w:val="99"/>
    <w:unhideWhenUsed/>
    <w:rsid w:val="00971362"/>
    <w:pPr>
      <w:spacing w:line="240" w:lineRule="auto"/>
    </w:pPr>
    <w:rPr>
      <w:sz w:val="20"/>
      <w:szCs w:val="20"/>
    </w:rPr>
  </w:style>
  <w:style w:type="character" w:customStyle="1" w:styleId="CommentTextChar">
    <w:name w:val="Comment Text Char"/>
    <w:basedOn w:val="DefaultParagraphFont"/>
    <w:link w:val="CommentText"/>
    <w:uiPriority w:val="99"/>
    <w:rsid w:val="00971362"/>
    <w:rPr>
      <w:sz w:val="20"/>
      <w:szCs w:val="20"/>
    </w:rPr>
  </w:style>
  <w:style w:type="paragraph" w:styleId="CommentSubject">
    <w:name w:val="annotation subject"/>
    <w:basedOn w:val="CommentText"/>
    <w:next w:val="CommentText"/>
    <w:link w:val="CommentSubjectChar"/>
    <w:uiPriority w:val="99"/>
    <w:semiHidden/>
    <w:unhideWhenUsed/>
    <w:rsid w:val="00971362"/>
    <w:rPr>
      <w:b/>
      <w:bCs/>
    </w:rPr>
  </w:style>
  <w:style w:type="character" w:customStyle="1" w:styleId="CommentSubjectChar">
    <w:name w:val="Comment Subject Char"/>
    <w:basedOn w:val="CommentTextChar"/>
    <w:link w:val="CommentSubject"/>
    <w:uiPriority w:val="99"/>
    <w:semiHidden/>
    <w:rsid w:val="009713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1848408">
      <w:bodyDiv w:val="1"/>
      <w:marLeft w:val="0"/>
      <w:marRight w:val="0"/>
      <w:marTop w:val="0"/>
      <w:marBottom w:val="0"/>
      <w:divBdr>
        <w:top w:val="none" w:sz="0" w:space="0" w:color="auto"/>
        <w:left w:val="none" w:sz="0" w:space="0" w:color="auto"/>
        <w:bottom w:val="none" w:sz="0" w:space="0" w:color="auto"/>
        <w:right w:val="none" w:sz="0" w:space="0" w:color="auto"/>
      </w:divBdr>
      <w:divsChild>
        <w:div w:id="1230653904">
          <w:marLeft w:val="0"/>
          <w:marRight w:val="0"/>
          <w:marTop w:val="0"/>
          <w:marBottom w:val="0"/>
          <w:divBdr>
            <w:top w:val="none" w:sz="0" w:space="0" w:color="auto"/>
            <w:left w:val="none" w:sz="0" w:space="0" w:color="auto"/>
            <w:bottom w:val="none" w:sz="0" w:space="0" w:color="auto"/>
            <w:right w:val="none" w:sz="0" w:space="0" w:color="auto"/>
          </w:divBdr>
          <w:divsChild>
            <w:div w:id="1810854909">
              <w:marLeft w:val="0"/>
              <w:marRight w:val="0"/>
              <w:marTop w:val="0"/>
              <w:marBottom w:val="0"/>
              <w:divBdr>
                <w:top w:val="none" w:sz="0" w:space="0" w:color="auto"/>
                <w:left w:val="none" w:sz="0" w:space="0" w:color="auto"/>
                <w:bottom w:val="none" w:sz="0" w:space="0" w:color="auto"/>
                <w:right w:val="none" w:sz="0" w:space="0" w:color="auto"/>
              </w:divBdr>
              <w:divsChild>
                <w:div w:id="1674838282">
                  <w:marLeft w:val="0"/>
                  <w:marRight w:val="0"/>
                  <w:marTop w:val="0"/>
                  <w:marBottom w:val="0"/>
                  <w:divBdr>
                    <w:top w:val="none" w:sz="0" w:space="0" w:color="auto"/>
                    <w:left w:val="none" w:sz="0" w:space="0" w:color="auto"/>
                    <w:bottom w:val="none" w:sz="0" w:space="0" w:color="auto"/>
                    <w:right w:val="none" w:sz="0" w:space="0" w:color="auto"/>
                  </w:divBdr>
                  <w:divsChild>
                    <w:div w:id="4208253">
                      <w:marLeft w:val="0"/>
                      <w:marRight w:val="0"/>
                      <w:marTop w:val="0"/>
                      <w:marBottom w:val="0"/>
                      <w:divBdr>
                        <w:top w:val="none" w:sz="0" w:space="0" w:color="auto"/>
                        <w:left w:val="none" w:sz="0" w:space="0" w:color="auto"/>
                        <w:bottom w:val="none" w:sz="0" w:space="0" w:color="auto"/>
                        <w:right w:val="none" w:sz="0" w:space="0" w:color="auto"/>
                      </w:divBdr>
                      <w:divsChild>
                        <w:div w:id="1658342702">
                          <w:marLeft w:val="0"/>
                          <w:marRight w:val="0"/>
                          <w:marTop w:val="0"/>
                          <w:marBottom w:val="0"/>
                          <w:divBdr>
                            <w:top w:val="none" w:sz="0" w:space="0" w:color="auto"/>
                            <w:left w:val="none" w:sz="0" w:space="0" w:color="auto"/>
                            <w:bottom w:val="none" w:sz="0" w:space="0" w:color="auto"/>
                            <w:right w:val="none" w:sz="0" w:space="0" w:color="auto"/>
                          </w:divBdr>
                          <w:divsChild>
                            <w:div w:id="31420480">
                              <w:marLeft w:val="0"/>
                              <w:marRight w:val="0"/>
                              <w:marTop w:val="0"/>
                              <w:marBottom w:val="0"/>
                              <w:divBdr>
                                <w:top w:val="none" w:sz="0" w:space="0" w:color="auto"/>
                                <w:left w:val="none" w:sz="0" w:space="0" w:color="auto"/>
                                <w:bottom w:val="none" w:sz="0" w:space="0" w:color="auto"/>
                                <w:right w:val="none" w:sz="0" w:space="0" w:color="auto"/>
                              </w:divBdr>
                              <w:divsChild>
                                <w:div w:id="1685789748">
                                  <w:marLeft w:val="0"/>
                                  <w:marRight w:val="0"/>
                                  <w:marTop w:val="0"/>
                                  <w:marBottom w:val="0"/>
                                  <w:divBdr>
                                    <w:top w:val="none" w:sz="0" w:space="0" w:color="auto"/>
                                    <w:left w:val="none" w:sz="0" w:space="0" w:color="auto"/>
                                    <w:bottom w:val="none" w:sz="0" w:space="0" w:color="auto"/>
                                    <w:right w:val="none" w:sz="0" w:space="0" w:color="auto"/>
                                  </w:divBdr>
                                  <w:divsChild>
                                    <w:div w:id="1428313016">
                                      <w:marLeft w:val="0"/>
                                      <w:marRight w:val="0"/>
                                      <w:marTop w:val="0"/>
                                      <w:marBottom w:val="0"/>
                                      <w:divBdr>
                                        <w:top w:val="none" w:sz="0" w:space="0" w:color="auto"/>
                                        <w:left w:val="none" w:sz="0" w:space="0" w:color="auto"/>
                                        <w:bottom w:val="none" w:sz="0" w:space="0" w:color="auto"/>
                                        <w:right w:val="none" w:sz="0" w:space="0" w:color="auto"/>
                                      </w:divBdr>
                                      <w:divsChild>
                                        <w:div w:id="1528442975">
                                          <w:marLeft w:val="0"/>
                                          <w:marRight w:val="0"/>
                                          <w:marTop w:val="0"/>
                                          <w:marBottom w:val="0"/>
                                          <w:divBdr>
                                            <w:top w:val="none" w:sz="0" w:space="0" w:color="auto"/>
                                            <w:left w:val="none" w:sz="0" w:space="0" w:color="auto"/>
                                            <w:bottom w:val="none" w:sz="0" w:space="0" w:color="auto"/>
                                            <w:right w:val="none" w:sz="0" w:space="0" w:color="auto"/>
                                          </w:divBdr>
                                          <w:divsChild>
                                            <w:div w:id="964039533">
                                              <w:marLeft w:val="0"/>
                                              <w:marRight w:val="0"/>
                                              <w:marTop w:val="0"/>
                                              <w:marBottom w:val="0"/>
                                              <w:divBdr>
                                                <w:top w:val="none" w:sz="0" w:space="0" w:color="auto"/>
                                                <w:left w:val="none" w:sz="0" w:space="0" w:color="auto"/>
                                                <w:bottom w:val="none" w:sz="0" w:space="0" w:color="auto"/>
                                                <w:right w:val="none" w:sz="0" w:space="0" w:color="auto"/>
                                              </w:divBdr>
                                              <w:divsChild>
                                                <w:div w:id="263072162">
                                                  <w:marLeft w:val="0"/>
                                                  <w:marRight w:val="0"/>
                                                  <w:marTop w:val="0"/>
                                                  <w:marBottom w:val="0"/>
                                                  <w:divBdr>
                                                    <w:top w:val="none" w:sz="0" w:space="0" w:color="auto"/>
                                                    <w:left w:val="none" w:sz="0" w:space="0" w:color="auto"/>
                                                    <w:bottom w:val="none" w:sz="0" w:space="0" w:color="auto"/>
                                                    <w:right w:val="none" w:sz="0" w:space="0" w:color="auto"/>
                                                  </w:divBdr>
                                                  <w:divsChild>
                                                    <w:div w:id="669069262">
                                                      <w:marLeft w:val="0"/>
                                                      <w:marRight w:val="0"/>
                                                      <w:marTop w:val="0"/>
                                                      <w:marBottom w:val="0"/>
                                                      <w:divBdr>
                                                        <w:top w:val="none" w:sz="0" w:space="0" w:color="auto"/>
                                                        <w:left w:val="none" w:sz="0" w:space="0" w:color="auto"/>
                                                        <w:bottom w:val="none" w:sz="0" w:space="0" w:color="auto"/>
                                                        <w:right w:val="none" w:sz="0" w:space="0" w:color="auto"/>
                                                      </w:divBdr>
                                                      <w:divsChild>
                                                        <w:div w:id="2141532895">
                                                          <w:marLeft w:val="0"/>
                                                          <w:marRight w:val="0"/>
                                                          <w:marTop w:val="0"/>
                                                          <w:marBottom w:val="0"/>
                                                          <w:divBdr>
                                                            <w:top w:val="none" w:sz="0" w:space="0" w:color="auto"/>
                                                            <w:left w:val="none" w:sz="0" w:space="0" w:color="auto"/>
                                                            <w:bottom w:val="none" w:sz="0" w:space="0" w:color="auto"/>
                                                            <w:right w:val="none" w:sz="0" w:space="0" w:color="auto"/>
                                                          </w:divBdr>
                                                          <w:divsChild>
                                                            <w:div w:id="1118833231">
                                                              <w:marLeft w:val="0"/>
                                                              <w:marRight w:val="0"/>
                                                              <w:marTop w:val="0"/>
                                                              <w:marBottom w:val="0"/>
                                                              <w:divBdr>
                                                                <w:top w:val="none" w:sz="0" w:space="0" w:color="auto"/>
                                                                <w:left w:val="none" w:sz="0" w:space="0" w:color="auto"/>
                                                                <w:bottom w:val="none" w:sz="0" w:space="0" w:color="auto"/>
                                                                <w:right w:val="none" w:sz="0" w:space="0" w:color="auto"/>
                                                              </w:divBdr>
                                                              <w:divsChild>
                                                                <w:div w:id="10911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74637795">
      <w:bodyDiv w:val="1"/>
      <w:marLeft w:val="0"/>
      <w:marRight w:val="0"/>
      <w:marTop w:val="0"/>
      <w:marBottom w:val="0"/>
      <w:divBdr>
        <w:top w:val="none" w:sz="0" w:space="0" w:color="auto"/>
        <w:left w:val="none" w:sz="0" w:space="0" w:color="auto"/>
        <w:bottom w:val="none" w:sz="0" w:space="0" w:color="auto"/>
        <w:right w:val="none" w:sz="0" w:space="0" w:color="auto"/>
      </w:divBdr>
      <w:divsChild>
        <w:div w:id="1903518572">
          <w:marLeft w:val="0"/>
          <w:marRight w:val="0"/>
          <w:marTop w:val="0"/>
          <w:marBottom w:val="0"/>
          <w:divBdr>
            <w:top w:val="none" w:sz="0" w:space="0" w:color="auto"/>
            <w:left w:val="none" w:sz="0" w:space="0" w:color="auto"/>
            <w:bottom w:val="none" w:sz="0" w:space="0" w:color="auto"/>
            <w:right w:val="none" w:sz="0" w:space="0" w:color="auto"/>
          </w:divBdr>
          <w:divsChild>
            <w:div w:id="861090896">
              <w:marLeft w:val="0"/>
              <w:marRight w:val="0"/>
              <w:marTop w:val="270"/>
              <w:marBottom w:val="0"/>
              <w:divBdr>
                <w:top w:val="none" w:sz="0" w:space="0" w:color="auto"/>
                <w:left w:val="none" w:sz="0" w:space="0" w:color="auto"/>
                <w:bottom w:val="none" w:sz="0" w:space="0" w:color="auto"/>
                <w:right w:val="none" w:sz="0" w:space="0" w:color="auto"/>
              </w:divBdr>
              <w:divsChild>
                <w:div w:id="992953709">
                  <w:marLeft w:val="0"/>
                  <w:marRight w:val="0"/>
                  <w:marTop w:val="0"/>
                  <w:marBottom w:val="0"/>
                  <w:divBdr>
                    <w:top w:val="none" w:sz="0" w:space="0" w:color="auto"/>
                    <w:left w:val="none" w:sz="0" w:space="0" w:color="auto"/>
                    <w:bottom w:val="none" w:sz="0" w:space="0" w:color="auto"/>
                    <w:right w:val="none" w:sz="0" w:space="0" w:color="auto"/>
                  </w:divBdr>
                  <w:divsChild>
                    <w:div w:id="692345234">
                      <w:marLeft w:val="0"/>
                      <w:marRight w:val="0"/>
                      <w:marTop w:val="0"/>
                      <w:marBottom w:val="0"/>
                      <w:divBdr>
                        <w:top w:val="none" w:sz="0" w:space="0" w:color="auto"/>
                        <w:left w:val="none" w:sz="0" w:space="0" w:color="auto"/>
                        <w:bottom w:val="none" w:sz="0" w:space="0" w:color="auto"/>
                        <w:right w:val="none" w:sz="0" w:space="0" w:color="auto"/>
                      </w:divBdr>
                    </w:div>
                    <w:div w:id="1322850542">
                      <w:marLeft w:val="0"/>
                      <w:marRight w:val="0"/>
                      <w:marTop w:val="0"/>
                      <w:marBottom w:val="0"/>
                      <w:divBdr>
                        <w:top w:val="none" w:sz="0" w:space="0" w:color="auto"/>
                        <w:left w:val="none" w:sz="0" w:space="0" w:color="auto"/>
                        <w:bottom w:val="none" w:sz="0" w:space="0" w:color="auto"/>
                        <w:right w:val="none" w:sz="0" w:space="0" w:color="auto"/>
                      </w:divBdr>
                    </w:div>
                    <w:div w:id="2110394424">
                      <w:marLeft w:val="0"/>
                      <w:marRight w:val="0"/>
                      <w:marTop w:val="0"/>
                      <w:marBottom w:val="0"/>
                      <w:divBdr>
                        <w:top w:val="none" w:sz="0" w:space="0" w:color="auto"/>
                        <w:left w:val="none" w:sz="0" w:space="0" w:color="auto"/>
                        <w:bottom w:val="none" w:sz="0" w:space="0" w:color="auto"/>
                        <w:right w:val="none" w:sz="0" w:space="0" w:color="auto"/>
                      </w:divBdr>
                    </w:div>
                    <w:div w:id="1256397723">
                      <w:marLeft w:val="0"/>
                      <w:marRight w:val="0"/>
                      <w:marTop w:val="0"/>
                      <w:marBottom w:val="0"/>
                      <w:divBdr>
                        <w:top w:val="none" w:sz="0" w:space="0" w:color="auto"/>
                        <w:left w:val="none" w:sz="0" w:space="0" w:color="auto"/>
                        <w:bottom w:val="none" w:sz="0" w:space="0" w:color="auto"/>
                        <w:right w:val="none" w:sz="0" w:space="0" w:color="auto"/>
                      </w:divBdr>
                    </w:div>
                    <w:div w:id="441219823">
                      <w:marLeft w:val="0"/>
                      <w:marRight w:val="0"/>
                      <w:marTop w:val="0"/>
                      <w:marBottom w:val="0"/>
                      <w:divBdr>
                        <w:top w:val="none" w:sz="0" w:space="0" w:color="auto"/>
                        <w:left w:val="none" w:sz="0" w:space="0" w:color="auto"/>
                        <w:bottom w:val="none" w:sz="0" w:space="0" w:color="auto"/>
                        <w:right w:val="none" w:sz="0" w:space="0" w:color="auto"/>
                      </w:divBdr>
                    </w:div>
                    <w:div w:id="1401366798">
                      <w:marLeft w:val="0"/>
                      <w:marRight w:val="0"/>
                      <w:marTop w:val="0"/>
                      <w:marBottom w:val="0"/>
                      <w:divBdr>
                        <w:top w:val="none" w:sz="0" w:space="0" w:color="auto"/>
                        <w:left w:val="none" w:sz="0" w:space="0" w:color="auto"/>
                        <w:bottom w:val="none" w:sz="0" w:space="0" w:color="auto"/>
                        <w:right w:val="none" w:sz="0" w:space="0" w:color="auto"/>
                      </w:divBdr>
                    </w:div>
                    <w:div w:id="63456874">
                      <w:marLeft w:val="0"/>
                      <w:marRight w:val="0"/>
                      <w:marTop w:val="0"/>
                      <w:marBottom w:val="0"/>
                      <w:divBdr>
                        <w:top w:val="none" w:sz="0" w:space="0" w:color="auto"/>
                        <w:left w:val="none" w:sz="0" w:space="0" w:color="auto"/>
                        <w:bottom w:val="none" w:sz="0" w:space="0" w:color="auto"/>
                        <w:right w:val="none" w:sz="0" w:space="0" w:color="auto"/>
                      </w:divBdr>
                    </w:div>
                    <w:div w:id="2131166263">
                      <w:marLeft w:val="0"/>
                      <w:marRight w:val="0"/>
                      <w:marTop w:val="0"/>
                      <w:marBottom w:val="0"/>
                      <w:divBdr>
                        <w:top w:val="none" w:sz="0" w:space="0" w:color="auto"/>
                        <w:left w:val="none" w:sz="0" w:space="0" w:color="auto"/>
                        <w:bottom w:val="none" w:sz="0" w:space="0" w:color="auto"/>
                        <w:right w:val="none" w:sz="0" w:space="0" w:color="auto"/>
                      </w:divBdr>
                    </w:div>
                  </w:divsChild>
                </w:div>
                <w:div w:id="1209612018">
                  <w:marLeft w:val="0"/>
                  <w:marRight w:val="0"/>
                  <w:marTop w:val="0"/>
                  <w:marBottom w:val="0"/>
                  <w:divBdr>
                    <w:top w:val="none" w:sz="0" w:space="0" w:color="auto"/>
                    <w:left w:val="none" w:sz="0" w:space="0" w:color="auto"/>
                    <w:bottom w:val="single" w:sz="6" w:space="0" w:color="C0C0C0"/>
                    <w:right w:val="none" w:sz="0" w:space="0" w:color="auto"/>
                  </w:divBdr>
                  <w:divsChild>
                    <w:div w:id="208809035">
                      <w:marLeft w:val="0"/>
                      <w:marRight w:val="0"/>
                      <w:marTop w:val="0"/>
                      <w:marBottom w:val="0"/>
                      <w:divBdr>
                        <w:top w:val="none" w:sz="0" w:space="0" w:color="auto"/>
                        <w:left w:val="none" w:sz="0" w:space="0" w:color="auto"/>
                        <w:bottom w:val="none" w:sz="0" w:space="0" w:color="auto"/>
                        <w:right w:val="none" w:sz="0" w:space="0" w:color="auto"/>
                      </w:divBdr>
                      <w:divsChild>
                        <w:div w:id="2013221639">
                          <w:marLeft w:val="0"/>
                          <w:marRight w:val="0"/>
                          <w:marTop w:val="0"/>
                          <w:marBottom w:val="0"/>
                          <w:divBdr>
                            <w:top w:val="none" w:sz="0" w:space="0" w:color="auto"/>
                            <w:left w:val="none" w:sz="0" w:space="0" w:color="auto"/>
                            <w:bottom w:val="none" w:sz="0" w:space="0" w:color="auto"/>
                            <w:right w:val="none" w:sz="0" w:space="0" w:color="auto"/>
                          </w:divBdr>
                        </w:div>
                        <w:div w:id="75245437">
                          <w:marLeft w:val="0"/>
                          <w:marRight w:val="0"/>
                          <w:marTop w:val="0"/>
                          <w:marBottom w:val="0"/>
                          <w:divBdr>
                            <w:top w:val="none" w:sz="0" w:space="0" w:color="auto"/>
                            <w:left w:val="none" w:sz="0" w:space="0" w:color="auto"/>
                            <w:bottom w:val="none" w:sz="0" w:space="0" w:color="auto"/>
                            <w:right w:val="none" w:sz="0" w:space="0" w:color="auto"/>
                          </w:divBdr>
                          <w:divsChild>
                            <w:div w:id="11648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741231">
      <w:bodyDiv w:val="1"/>
      <w:marLeft w:val="0"/>
      <w:marRight w:val="0"/>
      <w:marTop w:val="0"/>
      <w:marBottom w:val="0"/>
      <w:divBdr>
        <w:top w:val="none" w:sz="0" w:space="0" w:color="auto"/>
        <w:left w:val="none" w:sz="0" w:space="0" w:color="auto"/>
        <w:bottom w:val="none" w:sz="0" w:space="0" w:color="auto"/>
        <w:right w:val="none" w:sz="0" w:space="0" w:color="auto"/>
      </w:divBdr>
    </w:div>
    <w:div w:id="1951472936">
      <w:bodyDiv w:val="1"/>
      <w:marLeft w:val="0"/>
      <w:marRight w:val="0"/>
      <w:marTop w:val="0"/>
      <w:marBottom w:val="0"/>
      <w:divBdr>
        <w:top w:val="none" w:sz="0" w:space="0" w:color="auto"/>
        <w:left w:val="none" w:sz="0" w:space="0" w:color="auto"/>
        <w:bottom w:val="none" w:sz="0" w:space="0" w:color="auto"/>
        <w:right w:val="none" w:sz="0" w:space="0" w:color="auto"/>
      </w:divBdr>
      <w:divsChild>
        <w:div w:id="14230679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pert.co.uk" TargetMode="External"/><Relationship Id="rId3" Type="http://schemas.openxmlformats.org/officeDocument/2006/relationships/styles" Target="styles.xml"/><Relationship Id="rId7" Type="http://schemas.openxmlformats.org/officeDocument/2006/relationships/hyperlink" Target="http://www.pesticides.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oppert.co.u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opper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17F080D-8F07-4265-8E17-6B95A73B2BBE}">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217BC-B0DD-42D4-9C02-3F8AD97A8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3340</Words>
  <Characters>19044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Jackson</dc:creator>
  <cp:keywords/>
  <dc:description/>
  <cp:lastModifiedBy> </cp:lastModifiedBy>
  <cp:revision>99</cp:revision>
  <cp:lastPrinted>2019-08-20T10:55:00Z</cp:lastPrinted>
  <dcterms:created xsi:type="dcterms:W3CDTF">2019-07-19T15:28:00Z</dcterms:created>
  <dcterms:modified xsi:type="dcterms:W3CDTF">2019-09-30T16:00:00Z</dcterms:modified>
</cp:coreProperties>
</file>